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13B8" w14:textId="6E999C7A" w:rsidR="00BE78FA" w:rsidRPr="00BE78FA" w:rsidRDefault="00D35F2E" w:rsidP="00BE78FA">
      <w:pPr>
        <w:pStyle w:val="Title"/>
        <w:spacing w:line="240" w:lineRule="auto"/>
        <w:ind w:firstLine="0"/>
        <w:contextualSpacing w:val="0"/>
        <w:jc w:val="left"/>
        <w:rPr>
          <w:rFonts w:ascii="Arial" w:hAnsi="Arial" w:cs="Arial"/>
          <w:b w:val="0"/>
        </w:rPr>
      </w:pPr>
      <w:r w:rsidRPr="00BE78FA">
        <w:rPr>
          <w:rFonts w:ascii="Arial" w:hAnsi="Arial" w:cs="Arial"/>
        </w:rPr>
        <w:t>13-1715. Underlying judgment.</w:t>
      </w:r>
    </w:p>
    <w:p w14:paraId="7F425421" w14:textId="0DECD382" w:rsidR="00BE78FA" w:rsidRPr="00BE78FA" w:rsidRDefault="00D35F2E" w:rsidP="00BE78FA">
      <w:pPr>
        <w:spacing w:line="240" w:lineRule="auto"/>
        <w:jc w:val="left"/>
        <w:rPr>
          <w:rFonts w:ascii="Arial" w:hAnsi="Arial" w:cs="Arial"/>
          <w:iCs/>
        </w:rPr>
      </w:pPr>
      <w:r w:rsidRPr="00BE78FA">
        <w:rPr>
          <w:rFonts w:ascii="Arial" w:hAnsi="Arial" w:cs="Arial"/>
          <w:iCs/>
        </w:rPr>
        <w:t>The amount of any judgment obtained by ________ (</w:t>
      </w:r>
      <w:r w:rsidRPr="00BE78FA">
        <w:rPr>
          <w:rFonts w:ascii="Arial" w:hAnsi="Arial" w:cs="Arial"/>
          <w:i/>
        </w:rPr>
        <w:t>plaintiff in the underlying action</w:t>
      </w:r>
      <w:r w:rsidRPr="00BE78FA">
        <w:rPr>
          <w:rFonts w:ascii="Arial" w:hAnsi="Arial" w:cs="Arial"/>
          <w:iCs/>
        </w:rPr>
        <w:t>) against ___________ (</w:t>
      </w:r>
      <w:r w:rsidRPr="00BE78FA">
        <w:rPr>
          <w:rFonts w:ascii="Arial" w:hAnsi="Arial" w:cs="Arial"/>
          <w:i/>
        </w:rPr>
        <w:t>defendant in the underlying action</w:t>
      </w:r>
      <w:r w:rsidRPr="00BE78FA">
        <w:rPr>
          <w:rFonts w:ascii="Arial" w:hAnsi="Arial" w:cs="Arial"/>
          <w:iCs/>
        </w:rPr>
        <w:t>) in __________ (</w:t>
      </w:r>
      <w:r w:rsidRPr="00BE78FA">
        <w:rPr>
          <w:rFonts w:ascii="Arial" w:hAnsi="Arial" w:cs="Arial"/>
          <w:i/>
        </w:rPr>
        <w:t>identify the underlying action</w:t>
      </w:r>
      <w:r w:rsidRPr="00BE78FA">
        <w:rPr>
          <w:rFonts w:ascii="Arial" w:hAnsi="Arial" w:cs="Arial"/>
          <w:iCs/>
        </w:rPr>
        <w:t xml:space="preserve">). </w:t>
      </w:r>
    </w:p>
    <w:p w14:paraId="2EA27179" w14:textId="77777777" w:rsidR="001850CF" w:rsidRPr="00BE78FA" w:rsidRDefault="001850CF" w:rsidP="00BE78FA">
      <w:pPr>
        <w:spacing w:line="240" w:lineRule="auto"/>
        <w:jc w:val="left"/>
        <w:rPr>
          <w:rFonts w:ascii="Arial" w:hAnsi="Arial" w:cs="Arial"/>
          <w:iCs/>
        </w:rPr>
      </w:pPr>
    </w:p>
    <w:p w14:paraId="28E7EF9F" w14:textId="77777777" w:rsidR="00BE78FA" w:rsidRPr="00BE78FA" w:rsidRDefault="00D35F2E" w:rsidP="00BE78FA">
      <w:pPr>
        <w:spacing w:line="240" w:lineRule="auto"/>
        <w:ind w:firstLine="0"/>
        <w:jc w:val="center"/>
        <w:rPr>
          <w:rFonts w:ascii="Arial" w:hAnsi="Arial" w:cs="Arial"/>
        </w:rPr>
      </w:pPr>
      <w:r w:rsidRPr="00BE78FA">
        <w:rPr>
          <w:rFonts w:ascii="Arial" w:hAnsi="Arial" w:cs="Arial"/>
        </w:rPr>
        <w:t>USE NOTES</w:t>
      </w:r>
    </w:p>
    <w:p w14:paraId="64E0773C" w14:textId="4C4081EB" w:rsidR="00BE78FA" w:rsidRPr="00BE78FA" w:rsidRDefault="00D35F2E" w:rsidP="00BE78FA">
      <w:pPr>
        <w:spacing w:line="240" w:lineRule="auto"/>
        <w:jc w:val="left"/>
        <w:rPr>
          <w:rFonts w:ascii="Arial" w:hAnsi="Arial" w:cs="Arial"/>
        </w:rPr>
      </w:pPr>
      <w:r w:rsidRPr="00BE78FA">
        <w:rPr>
          <w:rFonts w:ascii="Arial" w:hAnsi="Arial" w:cs="Arial"/>
        </w:rPr>
        <w:t xml:space="preserve">This element of damages must be included under UJI 13-1712 </w:t>
      </w:r>
      <w:r w:rsidR="001850CF" w:rsidRPr="00BE78FA">
        <w:rPr>
          <w:rFonts w:ascii="Arial" w:hAnsi="Arial" w:cs="Arial"/>
        </w:rPr>
        <w:t xml:space="preserve">NMRA </w:t>
      </w:r>
      <w:r w:rsidRPr="00BE78FA">
        <w:rPr>
          <w:rFonts w:ascii="Arial" w:hAnsi="Arial" w:cs="Arial"/>
        </w:rPr>
        <w:t xml:space="preserve">in </w:t>
      </w:r>
      <w:r w:rsidR="00284091" w:rsidRPr="00BE78FA">
        <w:rPr>
          <w:rFonts w:ascii="Arial" w:hAnsi="Arial" w:cs="Arial"/>
        </w:rPr>
        <w:t>a</w:t>
      </w:r>
      <w:r w:rsidRPr="00BE78FA">
        <w:rPr>
          <w:rFonts w:ascii="Arial" w:hAnsi="Arial" w:cs="Arial"/>
        </w:rPr>
        <w:t xml:space="preserve"> case where </w:t>
      </w:r>
      <w:r w:rsidR="001850CF" w:rsidRPr="00BE78FA">
        <w:rPr>
          <w:rFonts w:ascii="Arial" w:hAnsi="Arial" w:cs="Arial"/>
        </w:rPr>
        <w:t xml:space="preserve">an insurer’s bad faith conduct resulted in the entry of a judgment in an underlying action against its insured. </w:t>
      </w:r>
      <w:r w:rsidRPr="00BE78FA">
        <w:rPr>
          <w:rFonts w:ascii="Arial" w:hAnsi="Arial" w:cs="Arial"/>
        </w:rPr>
        <w:t>The</w:t>
      </w:r>
      <w:r w:rsidR="001850CF" w:rsidRPr="00BE78FA">
        <w:rPr>
          <w:rFonts w:ascii="Arial" w:hAnsi="Arial" w:cs="Arial"/>
        </w:rPr>
        <w:t xml:space="preserve"> </w:t>
      </w:r>
      <w:r w:rsidRPr="00BE78FA">
        <w:rPr>
          <w:rFonts w:ascii="Arial" w:hAnsi="Arial" w:cs="Arial"/>
        </w:rPr>
        <w:t>names of the parties in the underlying action should be inserted in the blanks to assist the jury’s recognition of this damage element. As used here, an “underlying action” may include events in the same lawsuit if they resulted in a judgment.</w:t>
      </w:r>
    </w:p>
    <w:p w14:paraId="48617045" w14:textId="10B1D4C6" w:rsidR="00BE78FA" w:rsidRPr="00047613" w:rsidRDefault="00D35F2E" w:rsidP="004B6995">
      <w:pPr>
        <w:spacing w:line="240" w:lineRule="auto"/>
        <w:ind w:firstLine="0"/>
        <w:jc w:val="left"/>
        <w:rPr>
          <w:rFonts w:ascii="Arial" w:hAnsi="Arial" w:cs="Arial"/>
          <w:strike/>
        </w:rPr>
      </w:pPr>
      <w:r w:rsidRPr="00BE78FA">
        <w:rPr>
          <w:rFonts w:ascii="Arial" w:hAnsi="Arial" w:cs="Arial"/>
          <w:iCs/>
        </w:rPr>
        <w:t>[Adopted, effective November 1, 1991</w:t>
      </w:r>
      <w:r w:rsidRPr="00BE78FA">
        <w:rPr>
          <w:rFonts w:ascii="Arial" w:hAnsi="Arial" w:cs="Arial"/>
        </w:rPr>
        <w:t xml:space="preserve">; as amended by Supreme Court Order No. </w:t>
      </w:r>
      <w:r w:rsidR="004B6995">
        <w:rPr>
          <w:rFonts w:ascii="Arial" w:hAnsi="Arial" w:cs="Arial"/>
          <w:szCs w:val="24"/>
        </w:rPr>
        <w:t>S-1-RCR-2023-00028</w:t>
      </w:r>
      <w:r w:rsidRPr="00BE78FA">
        <w:rPr>
          <w:rFonts w:ascii="Arial" w:hAnsi="Arial" w:cs="Arial"/>
        </w:rPr>
        <w:t>, effective</w:t>
      </w:r>
      <w:r w:rsidR="001850CF" w:rsidRPr="00BE78FA">
        <w:rPr>
          <w:rFonts w:ascii="Arial" w:hAnsi="Arial" w:cs="Arial"/>
        </w:rPr>
        <w:t xml:space="preserve"> for all cases pending or filed on or after</w:t>
      </w:r>
      <w:r w:rsidRPr="00BE78FA">
        <w:rPr>
          <w:rFonts w:ascii="Arial" w:hAnsi="Arial" w:cs="Arial"/>
        </w:rPr>
        <w:t xml:space="preserve"> </w:t>
      </w:r>
      <w:r w:rsidR="005F5E7B" w:rsidRPr="00BE78FA">
        <w:rPr>
          <w:rFonts w:ascii="Arial" w:hAnsi="Arial" w:cs="Arial"/>
        </w:rPr>
        <w:t>December 31, 2023</w:t>
      </w:r>
      <w:r w:rsidRPr="00BE78FA">
        <w:rPr>
          <w:rFonts w:ascii="Arial" w:hAnsi="Arial" w:cs="Arial"/>
        </w:rPr>
        <w:t>.]</w:t>
      </w:r>
    </w:p>
    <w:sectPr w:rsidR="00BE78FA" w:rsidRPr="00047613" w:rsidSect="00BE78FA">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B1DF" w14:textId="77777777" w:rsidR="00CB7C4B" w:rsidRDefault="00D35F2E">
      <w:pPr>
        <w:spacing w:line="240" w:lineRule="auto"/>
      </w:pPr>
      <w:r>
        <w:separator/>
      </w:r>
    </w:p>
  </w:endnote>
  <w:endnote w:type="continuationSeparator" w:id="0">
    <w:p w14:paraId="30E65FF3" w14:textId="77777777" w:rsidR="00CB7C4B" w:rsidRDefault="00D35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3184" w14:textId="77777777" w:rsidR="00CB7C4B" w:rsidRDefault="00D35F2E">
      <w:pPr>
        <w:spacing w:line="240" w:lineRule="auto"/>
      </w:pPr>
      <w:r>
        <w:separator/>
      </w:r>
    </w:p>
  </w:footnote>
  <w:footnote w:type="continuationSeparator" w:id="0">
    <w:p w14:paraId="66456FB0" w14:textId="77777777" w:rsidR="00CB7C4B" w:rsidRDefault="00D35F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CF8EF4E2">
      <w:start w:val="1"/>
      <w:numFmt w:val="upperLetter"/>
      <w:lvlText w:val="%1."/>
      <w:lvlJc w:val="left"/>
      <w:pPr>
        <w:ind w:left="1080" w:hanging="360"/>
      </w:pPr>
      <w:rPr>
        <w:rFonts w:hint="default"/>
      </w:rPr>
    </w:lvl>
    <w:lvl w:ilvl="1" w:tplc="2B34E7EC" w:tentative="1">
      <w:start w:val="1"/>
      <w:numFmt w:val="lowerLetter"/>
      <w:lvlText w:val="%2."/>
      <w:lvlJc w:val="left"/>
      <w:pPr>
        <w:ind w:left="1800" w:hanging="360"/>
      </w:pPr>
    </w:lvl>
    <w:lvl w:ilvl="2" w:tplc="F91C46A0" w:tentative="1">
      <w:start w:val="1"/>
      <w:numFmt w:val="lowerRoman"/>
      <w:lvlText w:val="%3."/>
      <w:lvlJc w:val="right"/>
      <w:pPr>
        <w:ind w:left="2520" w:hanging="180"/>
      </w:pPr>
    </w:lvl>
    <w:lvl w:ilvl="3" w:tplc="EFF05E80" w:tentative="1">
      <w:start w:val="1"/>
      <w:numFmt w:val="decimal"/>
      <w:lvlText w:val="%4."/>
      <w:lvlJc w:val="left"/>
      <w:pPr>
        <w:ind w:left="3240" w:hanging="360"/>
      </w:pPr>
    </w:lvl>
    <w:lvl w:ilvl="4" w:tplc="EEFA7F32" w:tentative="1">
      <w:start w:val="1"/>
      <w:numFmt w:val="lowerLetter"/>
      <w:lvlText w:val="%5."/>
      <w:lvlJc w:val="left"/>
      <w:pPr>
        <w:ind w:left="3960" w:hanging="360"/>
      </w:pPr>
    </w:lvl>
    <w:lvl w:ilvl="5" w:tplc="4672E062" w:tentative="1">
      <w:start w:val="1"/>
      <w:numFmt w:val="lowerRoman"/>
      <w:lvlText w:val="%6."/>
      <w:lvlJc w:val="right"/>
      <w:pPr>
        <w:ind w:left="4680" w:hanging="180"/>
      </w:pPr>
    </w:lvl>
    <w:lvl w:ilvl="6" w:tplc="9A0435BC" w:tentative="1">
      <w:start w:val="1"/>
      <w:numFmt w:val="decimal"/>
      <w:lvlText w:val="%7."/>
      <w:lvlJc w:val="left"/>
      <w:pPr>
        <w:ind w:left="5400" w:hanging="360"/>
      </w:pPr>
    </w:lvl>
    <w:lvl w:ilvl="7" w:tplc="E1644ADE" w:tentative="1">
      <w:start w:val="1"/>
      <w:numFmt w:val="lowerLetter"/>
      <w:lvlText w:val="%8."/>
      <w:lvlJc w:val="left"/>
      <w:pPr>
        <w:ind w:left="6120" w:hanging="360"/>
      </w:pPr>
    </w:lvl>
    <w:lvl w:ilvl="8" w:tplc="8F3A47C0"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602E2500">
      <w:start w:val="1"/>
      <w:numFmt w:val="upperLetter"/>
      <w:lvlText w:val="%1."/>
      <w:lvlJc w:val="left"/>
      <w:pPr>
        <w:ind w:left="1440" w:hanging="360"/>
      </w:pPr>
    </w:lvl>
    <w:lvl w:ilvl="1" w:tplc="CFF68EE2" w:tentative="1">
      <w:start w:val="1"/>
      <w:numFmt w:val="lowerLetter"/>
      <w:lvlText w:val="%2."/>
      <w:lvlJc w:val="left"/>
      <w:pPr>
        <w:ind w:left="2160" w:hanging="360"/>
      </w:pPr>
    </w:lvl>
    <w:lvl w:ilvl="2" w:tplc="E5E89656" w:tentative="1">
      <w:start w:val="1"/>
      <w:numFmt w:val="lowerRoman"/>
      <w:lvlText w:val="%3."/>
      <w:lvlJc w:val="right"/>
      <w:pPr>
        <w:ind w:left="2880" w:hanging="180"/>
      </w:pPr>
    </w:lvl>
    <w:lvl w:ilvl="3" w:tplc="C94057D2" w:tentative="1">
      <w:start w:val="1"/>
      <w:numFmt w:val="decimal"/>
      <w:lvlText w:val="%4."/>
      <w:lvlJc w:val="left"/>
      <w:pPr>
        <w:ind w:left="3600" w:hanging="360"/>
      </w:pPr>
    </w:lvl>
    <w:lvl w:ilvl="4" w:tplc="92728A7A" w:tentative="1">
      <w:start w:val="1"/>
      <w:numFmt w:val="lowerLetter"/>
      <w:lvlText w:val="%5."/>
      <w:lvlJc w:val="left"/>
      <w:pPr>
        <w:ind w:left="4320" w:hanging="360"/>
      </w:pPr>
    </w:lvl>
    <w:lvl w:ilvl="5" w:tplc="0B003A52" w:tentative="1">
      <w:start w:val="1"/>
      <w:numFmt w:val="lowerRoman"/>
      <w:lvlText w:val="%6."/>
      <w:lvlJc w:val="right"/>
      <w:pPr>
        <w:ind w:left="5040" w:hanging="180"/>
      </w:pPr>
    </w:lvl>
    <w:lvl w:ilvl="6" w:tplc="DC180F7E" w:tentative="1">
      <w:start w:val="1"/>
      <w:numFmt w:val="decimal"/>
      <w:lvlText w:val="%7."/>
      <w:lvlJc w:val="left"/>
      <w:pPr>
        <w:ind w:left="5760" w:hanging="360"/>
      </w:pPr>
    </w:lvl>
    <w:lvl w:ilvl="7" w:tplc="ADBEF0EE" w:tentative="1">
      <w:start w:val="1"/>
      <w:numFmt w:val="lowerLetter"/>
      <w:lvlText w:val="%8."/>
      <w:lvlJc w:val="left"/>
      <w:pPr>
        <w:ind w:left="6480" w:hanging="360"/>
      </w:pPr>
    </w:lvl>
    <w:lvl w:ilvl="8" w:tplc="67DE360C"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A2E25DBC">
      <w:start w:val="1"/>
      <w:numFmt w:val="upperLetter"/>
      <w:lvlText w:val="%1."/>
      <w:lvlJc w:val="left"/>
      <w:pPr>
        <w:ind w:left="1440" w:hanging="360"/>
      </w:pPr>
    </w:lvl>
    <w:lvl w:ilvl="1" w:tplc="4A8647E6" w:tentative="1">
      <w:start w:val="1"/>
      <w:numFmt w:val="lowerLetter"/>
      <w:lvlText w:val="%2."/>
      <w:lvlJc w:val="left"/>
      <w:pPr>
        <w:ind w:left="2160" w:hanging="360"/>
      </w:pPr>
    </w:lvl>
    <w:lvl w:ilvl="2" w:tplc="C652DC0C" w:tentative="1">
      <w:start w:val="1"/>
      <w:numFmt w:val="lowerRoman"/>
      <w:lvlText w:val="%3."/>
      <w:lvlJc w:val="right"/>
      <w:pPr>
        <w:ind w:left="2880" w:hanging="180"/>
      </w:pPr>
    </w:lvl>
    <w:lvl w:ilvl="3" w:tplc="45F2A6B2" w:tentative="1">
      <w:start w:val="1"/>
      <w:numFmt w:val="decimal"/>
      <w:lvlText w:val="%4."/>
      <w:lvlJc w:val="left"/>
      <w:pPr>
        <w:ind w:left="3600" w:hanging="360"/>
      </w:pPr>
    </w:lvl>
    <w:lvl w:ilvl="4" w:tplc="8A7C5806" w:tentative="1">
      <w:start w:val="1"/>
      <w:numFmt w:val="lowerLetter"/>
      <w:lvlText w:val="%5."/>
      <w:lvlJc w:val="left"/>
      <w:pPr>
        <w:ind w:left="4320" w:hanging="360"/>
      </w:pPr>
    </w:lvl>
    <w:lvl w:ilvl="5" w:tplc="3AE60306" w:tentative="1">
      <w:start w:val="1"/>
      <w:numFmt w:val="lowerRoman"/>
      <w:lvlText w:val="%6."/>
      <w:lvlJc w:val="right"/>
      <w:pPr>
        <w:ind w:left="5040" w:hanging="180"/>
      </w:pPr>
    </w:lvl>
    <w:lvl w:ilvl="6" w:tplc="76984230" w:tentative="1">
      <w:start w:val="1"/>
      <w:numFmt w:val="decimal"/>
      <w:lvlText w:val="%7."/>
      <w:lvlJc w:val="left"/>
      <w:pPr>
        <w:ind w:left="5760" w:hanging="360"/>
      </w:pPr>
    </w:lvl>
    <w:lvl w:ilvl="7" w:tplc="C14895F6" w:tentative="1">
      <w:start w:val="1"/>
      <w:numFmt w:val="lowerLetter"/>
      <w:lvlText w:val="%8."/>
      <w:lvlJc w:val="left"/>
      <w:pPr>
        <w:ind w:left="6480" w:hanging="360"/>
      </w:pPr>
    </w:lvl>
    <w:lvl w:ilvl="8" w:tplc="AD485742"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73420696">
      <w:start w:val="1"/>
      <w:numFmt w:val="upperLetter"/>
      <w:lvlText w:val="%1."/>
      <w:lvlJc w:val="left"/>
      <w:pPr>
        <w:ind w:left="720" w:hanging="360"/>
      </w:pPr>
    </w:lvl>
    <w:lvl w:ilvl="1" w:tplc="24927A8C" w:tentative="1">
      <w:start w:val="1"/>
      <w:numFmt w:val="lowerLetter"/>
      <w:lvlText w:val="%2."/>
      <w:lvlJc w:val="left"/>
      <w:pPr>
        <w:ind w:left="1440" w:hanging="360"/>
      </w:pPr>
    </w:lvl>
    <w:lvl w:ilvl="2" w:tplc="DFE4F186" w:tentative="1">
      <w:start w:val="1"/>
      <w:numFmt w:val="lowerRoman"/>
      <w:lvlText w:val="%3."/>
      <w:lvlJc w:val="right"/>
      <w:pPr>
        <w:ind w:left="2160" w:hanging="180"/>
      </w:pPr>
    </w:lvl>
    <w:lvl w:ilvl="3" w:tplc="34DC4824" w:tentative="1">
      <w:start w:val="1"/>
      <w:numFmt w:val="decimal"/>
      <w:lvlText w:val="%4."/>
      <w:lvlJc w:val="left"/>
      <w:pPr>
        <w:ind w:left="2880" w:hanging="360"/>
      </w:pPr>
    </w:lvl>
    <w:lvl w:ilvl="4" w:tplc="074420BA" w:tentative="1">
      <w:start w:val="1"/>
      <w:numFmt w:val="lowerLetter"/>
      <w:lvlText w:val="%5."/>
      <w:lvlJc w:val="left"/>
      <w:pPr>
        <w:ind w:left="3600" w:hanging="360"/>
      </w:pPr>
    </w:lvl>
    <w:lvl w:ilvl="5" w:tplc="E63C3090" w:tentative="1">
      <w:start w:val="1"/>
      <w:numFmt w:val="lowerRoman"/>
      <w:lvlText w:val="%6."/>
      <w:lvlJc w:val="right"/>
      <w:pPr>
        <w:ind w:left="4320" w:hanging="180"/>
      </w:pPr>
    </w:lvl>
    <w:lvl w:ilvl="6" w:tplc="4AA4D3E8" w:tentative="1">
      <w:start w:val="1"/>
      <w:numFmt w:val="decimal"/>
      <w:lvlText w:val="%7."/>
      <w:lvlJc w:val="left"/>
      <w:pPr>
        <w:ind w:left="5040" w:hanging="360"/>
      </w:pPr>
    </w:lvl>
    <w:lvl w:ilvl="7" w:tplc="06507984" w:tentative="1">
      <w:start w:val="1"/>
      <w:numFmt w:val="lowerLetter"/>
      <w:lvlText w:val="%8."/>
      <w:lvlJc w:val="left"/>
      <w:pPr>
        <w:ind w:left="5760" w:hanging="360"/>
      </w:pPr>
    </w:lvl>
    <w:lvl w:ilvl="8" w:tplc="4DB203C4" w:tentative="1">
      <w:start w:val="1"/>
      <w:numFmt w:val="lowerRoman"/>
      <w:lvlText w:val="%9."/>
      <w:lvlJc w:val="right"/>
      <w:pPr>
        <w:ind w:left="6480" w:hanging="180"/>
      </w:pPr>
    </w:lvl>
  </w:abstractNum>
  <w:abstractNum w:abstractNumId="4" w15:restartNumberingAfterBreak="0">
    <w:nsid w:val="7BC63947"/>
    <w:multiLevelType w:val="hybridMultilevel"/>
    <w:tmpl w:val="43DE1FE2"/>
    <w:lvl w:ilvl="0" w:tplc="888014B2">
      <w:start w:val="1"/>
      <w:numFmt w:val="upperLetter"/>
      <w:lvlText w:val="%1."/>
      <w:lvlJc w:val="left"/>
      <w:pPr>
        <w:ind w:left="1080" w:hanging="360"/>
      </w:pPr>
      <w:rPr>
        <w:rFonts w:hint="default"/>
      </w:rPr>
    </w:lvl>
    <w:lvl w:ilvl="1" w:tplc="55A4F372" w:tentative="1">
      <w:start w:val="1"/>
      <w:numFmt w:val="lowerLetter"/>
      <w:lvlText w:val="%2."/>
      <w:lvlJc w:val="left"/>
      <w:pPr>
        <w:ind w:left="1800" w:hanging="360"/>
      </w:pPr>
    </w:lvl>
    <w:lvl w:ilvl="2" w:tplc="DF881418" w:tentative="1">
      <w:start w:val="1"/>
      <w:numFmt w:val="lowerRoman"/>
      <w:lvlText w:val="%3."/>
      <w:lvlJc w:val="right"/>
      <w:pPr>
        <w:ind w:left="2520" w:hanging="180"/>
      </w:pPr>
    </w:lvl>
    <w:lvl w:ilvl="3" w:tplc="4D983982" w:tentative="1">
      <w:start w:val="1"/>
      <w:numFmt w:val="decimal"/>
      <w:lvlText w:val="%4."/>
      <w:lvlJc w:val="left"/>
      <w:pPr>
        <w:ind w:left="3240" w:hanging="360"/>
      </w:pPr>
    </w:lvl>
    <w:lvl w:ilvl="4" w:tplc="C18237F6" w:tentative="1">
      <w:start w:val="1"/>
      <w:numFmt w:val="lowerLetter"/>
      <w:lvlText w:val="%5."/>
      <w:lvlJc w:val="left"/>
      <w:pPr>
        <w:ind w:left="3960" w:hanging="360"/>
      </w:pPr>
    </w:lvl>
    <w:lvl w:ilvl="5" w:tplc="3FF86512" w:tentative="1">
      <w:start w:val="1"/>
      <w:numFmt w:val="lowerRoman"/>
      <w:lvlText w:val="%6."/>
      <w:lvlJc w:val="right"/>
      <w:pPr>
        <w:ind w:left="4680" w:hanging="180"/>
      </w:pPr>
    </w:lvl>
    <w:lvl w:ilvl="6" w:tplc="F544DBB6" w:tentative="1">
      <w:start w:val="1"/>
      <w:numFmt w:val="decimal"/>
      <w:lvlText w:val="%7."/>
      <w:lvlJc w:val="left"/>
      <w:pPr>
        <w:ind w:left="5400" w:hanging="360"/>
      </w:pPr>
    </w:lvl>
    <w:lvl w:ilvl="7" w:tplc="80C699D6" w:tentative="1">
      <w:start w:val="1"/>
      <w:numFmt w:val="lowerLetter"/>
      <w:lvlText w:val="%8."/>
      <w:lvlJc w:val="left"/>
      <w:pPr>
        <w:ind w:left="6120" w:hanging="360"/>
      </w:pPr>
    </w:lvl>
    <w:lvl w:ilvl="8" w:tplc="1AB27648"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CBD2B4F0">
      <w:start w:val="1"/>
      <w:numFmt w:val="upperLetter"/>
      <w:lvlText w:val="%1."/>
      <w:lvlJc w:val="left"/>
      <w:pPr>
        <w:ind w:left="1440" w:hanging="360"/>
      </w:pPr>
    </w:lvl>
    <w:lvl w:ilvl="1" w:tplc="071C1D42" w:tentative="1">
      <w:start w:val="1"/>
      <w:numFmt w:val="lowerLetter"/>
      <w:lvlText w:val="%2."/>
      <w:lvlJc w:val="left"/>
      <w:pPr>
        <w:ind w:left="2160" w:hanging="360"/>
      </w:pPr>
    </w:lvl>
    <w:lvl w:ilvl="2" w:tplc="E10E901E" w:tentative="1">
      <w:start w:val="1"/>
      <w:numFmt w:val="lowerRoman"/>
      <w:lvlText w:val="%3."/>
      <w:lvlJc w:val="right"/>
      <w:pPr>
        <w:ind w:left="2880" w:hanging="180"/>
      </w:pPr>
    </w:lvl>
    <w:lvl w:ilvl="3" w:tplc="4DD09B46" w:tentative="1">
      <w:start w:val="1"/>
      <w:numFmt w:val="decimal"/>
      <w:lvlText w:val="%4."/>
      <w:lvlJc w:val="left"/>
      <w:pPr>
        <w:ind w:left="3600" w:hanging="360"/>
      </w:pPr>
    </w:lvl>
    <w:lvl w:ilvl="4" w:tplc="59741788" w:tentative="1">
      <w:start w:val="1"/>
      <w:numFmt w:val="lowerLetter"/>
      <w:lvlText w:val="%5."/>
      <w:lvlJc w:val="left"/>
      <w:pPr>
        <w:ind w:left="4320" w:hanging="360"/>
      </w:pPr>
    </w:lvl>
    <w:lvl w:ilvl="5" w:tplc="04BC2446" w:tentative="1">
      <w:start w:val="1"/>
      <w:numFmt w:val="lowerRoman"/>
      <w:lvlText w:val="%6."/>
      <w:lvlJc w:val="right"/>
      <w:pPr>
        <w:ind w:left="5040" w:hanging="180"/>
      </w:pPr>
    </w:lvl>
    <w:lvl w:ilvl="6" w:tplc="09CE9570" w:tentative="1">
      <w:start w:val="1"/>
      <w:numFmt w:val="decimal"/>
      <w:lvlText w:val="%7."/>
      <w:lvlJc w:val="left"/>
      <w:pPr>
        <w:ind w:left="5760" w:hanging="360"/>
      </w:pPr>
    </w:lvl>
    <w:lvl w:ilvl="7" w:tplc="7F5EBE72" w:tentative="1">
      <w:start w:val="1"/>
      <w:numFmt w:val="lowerLetter"/>
      <w:lvlText w:val="%8."/>
      <w:lvlJc w:val="left"/>
      <w:pPr>
        <w:ind w:left="6480" w:hanging="360"/>
      </w:pPr>
    </w:lvl>
    <w:lvl w:ilvl="8" w:tplc="BB58BA26" w:tentative="1">
      <w:start w:val="1"/>
      <w:numFmt w:val="lowerRoman"/>
      <w:lvlText w:val="%9."/>
      <w:lvlJc w:val="right"/>
      <w:pPr>
        <w:ind w:left="7200" w:hanging="180"/>
      </w:pPr>
    </w:lvl>
  </w:abstractNum>
  <w:abstractNum w:abstractNumId="6" w15:restartNumberingAfterBreak="0">
    <w:nsid w:val="7DC65A90"/>
    <w:multiLevelType w:val="hybridMultilevel"/>
    <w:tmpl w:val="1C4A8DF6"/>
    <w:lvl w:ilvl="0" w:tplc="4E66EECC">
      <w:start w:val="1"/>
      <w:numFmt w:val="upperLetter"/>
      <w:pStyle w:val="Subtitle"/>
      <w:lvlText w:val="%1."/>
      <w:lvlJc w:val="left"/>
      <w:pPr>
        <w:ind w:left="1440" w:hanging="360"/>
      </w:pPr>
    </w:lvl>
    <w:lvl w:ilvl="1" w:tplc="B4D4AA20" w:tentative="1">
      <w:start w:val="1"/>
      <w:numFmt w:val="lowerLetter"/>
      <w:lvlText w:val="%2."/>
      <w:lvlJc w:val="left"/>
      <w:pPr>
        <w:ind w:left="2160" w:hanging="360"/>
      </w:pPr>
    </w:lvl>
    <w:lvl w:ilvl="2" w:tplc="37D8A06C" w:tentative="1">
      <w:start w:val="1"/>
      <w:numFmt w:val="lowerRoman"/>
      <w:lvlText w:val="%3."/>
      <w:lvlJc w:val="right"/>
      <w:pPr>
        <w:ind w:left="2880" w:hanging="180"/>
      </w:pPr>
    </w:lvl>
    <w:lvl w:ilvl="3" w:tplc="C9A2E9DC" w:tentative="1">
      <w:start w:val="1"/>
      <w:numFmt w:val="decimal"/>
      <w:lvlText w:val="%4."/>
      <w:lvlJc w:val="left"/>
      <w:pPr>
        <w:ind w:left="3600" w:hanging="360"/>
      </w:pPr>
    </w:lvl>
    <w:lvl w:ilvl="4" w:tplc="460C8686" w:tentative="1">
      <w:start w:val="1"/>
      <w:numFmt w:val="lowerLetter"/>
      <w:lvlText w:val="%5."/>
      <w:lvlJc w:val="left"/>
      <w:pPr>
        <w:ind w:left="4320" w:hanging="360"/>
      </w:pPr>
    </w:lvl>
    <w:lvl w:ilvl="5" w:tplc="3ED49A26" w:tentative="1">
      <w:start w:val="1"/>
      <w:numFmt w:val="lowerRoman"/>
      <w:lvlText w:val="%6."/>
      <w:lvlJc w:val="right"/>
      <w:pPr>
        <w:ind w:left="5040" w:hanging="180"/>
      </w:pPr>
    </w:lvl>
    <w:lvl w:ilvl="6" w:tplc="1F02D6A6" w:tentative="1">
      <w:start w:val="1"/>
      <w:numFmt w:val="decimal"/>
      <w:lvlText w:val="%7."/>
      <w:lvlJc w:val="left"/>
      <w:pPr>
        <w:ind w:left="5760" w:hanging="360"/>
      </w:pPr>
    </w:lvl>
    <w:lvl w:ilvl="7" w:tplc="555AC536" w:tentative="1">
      <w:start w:val="1"/>
      <w:numFmt w:val="lowerLetter"/>
      <w:lvlText w:val="%8."/>
      <w:lvlJc w:val="left"/>
      <w:pPr>
        <w:ind w:left="6480" w:hanging="360"/>
      </w:pPr>
    </w:lvl>
    <w:lvl w:ilvl="8" w:tplc="577A3DEE" w:tentative="1">
      <w:start w:val="1"/>
      <w:numFmt w:val="lowerRoman"/>
      <w:lvlText w:val="%9."/>
      <w:lvlJc w:val="right"/>
      <w:pPr>
        <w:ind w:left="7200" w:hanging="180"/>
      </w:pPr>
    </w:lvl>
  </w:abstractNum>
  <w:num w:numId="1" w16cid:durableId="595361093">
    <w:abstractNumId w:val="0"/>
  </w:num>
  <w:num w:numId="2" w16cid:durableId="1137260925">
    <w:abstractNumId w:val="4"/>
  </w:num>
  <w:num w:numId="3" w16cid:durableId="1639413387">
    <w:abstractNumId w:val="1"/>
  </w:num>
  <w:num w:numId="4" w16cid:durableId="776288426">
    <w:abstractNumId w:val="3"/>
  </w:num>
  <w:num w:numId="5" w16cid:durableId="730687998">
    <w:abstractNumId w:val="5"/>
  </w:num>
  <w:num w:numId="6" w16cid:durableId="305355484">
    <w:abstractNumId w:val="6"/>
  </w:num>
  <w:num w:numId="7" w16cid:durableId="1277058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E"/>
    <w:rsid w:val="00047613"/>
    <w:rsid w:val="00082540"/>
    <w:rsid w:val="001850CF"/>
    <w:rsid w:val="00284091"/>
    <w:rsid w:val="00312924"/>
    <w:rsid w:val="00480903"/>
    <w:rsid w:val="004B6995"/>
    <w:rsid w:val="005738F5"/>
    <w:rsid w:val="005F5E7B"/>
    <w:rsid w:val="00A80EDC"/>
    <w:rsid w:val="00BE78FA"/>
    <w:rsid w:val="00CB7C4B"/>
    <w:rsid w:val="00D35F2E"/>
    <w:rsid w:val="00E652C1"/>
    <w:rsid w:val="00FB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0E6D"/>
  <w15:docId w15:val="{52EA869D-DCAF-4D08-A0D2-30A218F2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4D"/>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460DB"/>
    <w:pPr>
      <w:keepNext/>
      <w:keepLines/>
      <w:spacing w:line="240" w:lineRule="auto"/>
      <w:ind w:firstLine="0"/>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spacing w:line="240" w:lineRule="auto"/>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character" w:styleId="Hyperlink">
    <w:name w:val="Hyperlink"/>
    <w:basedOn w:val="DefaultParagraphFont"/>
    <w:uiPriority w:val="99"/>
    <w:unhideWhenUsed/>
    <w:rsid w:val="00F8611E"/>
    <w:rPr>
      <w:color w:val="0000FF" w:themeColor="hyperlink"/>
      <w:u w:val="single"/>
    </w:rPr>
  </w:style>
  <w:style w:type="character" w:styleId="CommentReference">
    <w:name w:val="annotation reference"/>
    <w:basedOn w:val="DefaultParagraphFont"/>
    <w:uiPriority w:val="99"/>
    <w:semiHidden/>
    <w:unhideWhenUsed/>
    <w:rsid w:val="008F12EF"/>
    <w:rPr>
      <w:sz w:val="16"/>
      <w:szCs w:val="16"/>
    </w:rPr>
  </w:style>
  <w:style w:type="paragraph" w:styleId="CommentText">
    <w:name w:val="annotation text"/>
    <w:basedOn w:val="Normal"/>
    <w:link w:val="CommentTextChar"/>
    <w:uiPriority w:val="99"/>
    <w:unhideWhenUsed/>
    <w:rsid w:val="008F12EF"/>
    <w:pPr>
      <w:spacing w:line="240" w:lineRule="auto"/>
    </w:pPr>
    <w:rPr>
      <w:sz w:val="20"/>
      <w:szCs w:val="20"/>
    </w:rPr>
  </w:style>
  <w:style w:type="character" w:customStyle="1" w:styleId="CommentTextChar">
    <w:name w:val="Comment Text Char"/>
    <w:basedOn w:val="DefaultParagraphFont"/>
    <w:link w:val="CommentText"/>
    <w:uiPriority w:val="99"/>
    <w:rsid w:val="008F12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12EF"/>
    <w:rPr>
      <w:b/>
      <w:bCs/>
    </w:rPr>
  </w:style>
  <w:style w:type="character" w:customStyle="1" w:styleId="CommentSubjectChar">
    <w:name w:val="Comment Subject Char"/>
    <w:basedOn w:val="CommentTextChar"/>
    <w:link w:val="CommentSubject"/>
    <w:uiPriority w:val="99"/>
    <w:semiHidden/>
    <w:rsid w:val="008F12E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C147B-9BBE-43F9-AE88-96170C33E95E}">
  <ds:schemaRefs>
    <ds:schemaRef ds:uri="http://schemas.microsoft.com/sharepoint/v3/contenttype/forms"/>
  </ds:schemaRefs>
</ds:datastoreItem>
</file>

<file path=customXml/itemProps2.xml><?xml version="1.0" encoding="utf-8"?>
<ds:datastoreItem xmlns:ds="http://schemas.openxmlformats.org/officeDocument/2006/customXml" ds:itemID="{ED180EA3-E964-4EEB-BD3C-5996D495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Rodey Law Firm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Feagans</dc:creator>
  <cp:lastModifiedBy>Loretta Barela</cp:lastModifiedBy>
  <cp:revision>5</cp:revision>
  <dcterms:created xsi:type="dcterms:W3CDTF">2023-10-26T19:26:00Z</dcterms:created>
  <dcterms:modified xsi:type="dcterms:W3CDTF">2023-11-02T17:13:00Z</dcterms:modified>
</cp:coreProperties>
</file>