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A628" w14:textId="19C37C15" w:rsidR="00F75043" w:rsidRPr="00F75043" w:rsidRDefault="00F75043" w:rsidP="00F75043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kern w:val="0"/>
          <w:sz w:val="24"/>
          <w:szCs w:val="24"/>
        </w:rPr>
      </w:pPr>
      <w:r w:rsidRPr="00F7504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F7504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F7504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F75043">
        <w:rPr>
          <w:rFonts w:ascii="Arial" w:hAnsi="Arial" w:cs="Arial"/>
          <w:b/>
          <w:bCs/>
          <w:kern w:val="0"/>
          <w:sz w:val="24"/>
          <w:szCs w:val="24"/>
        </w:rPr>
        <w:t>13-1103. Duty to inform patient of need for another doctor.</w:t>
      </w:r>
    </w:p>
    <w:p w14:paraId="401A265F" w14:textId="445950FC" w:rsidR="00F75043" w:rsidRPr="00F75043" w:rsidRDefault="00F75043" w:rsidP="00F75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75043">
        <w:rPr>
          <w:rFonts w:ascii="Arial" w:hAnsi="Arial" w:cs="Arial"/>
          <w:kern w:val="0"/>
          <w:sz w:val="24"/>
          <w:szCs w:val="24"/>
        </w:rPr>
        <w:tab/>
        <w:t xml:space="preserve">If a treating doctor knows, or should know, that a doctor with other qualifications is needed for the patient to receive proper treatment, it is the duty of the treating doctor to tell the patient. </w:t>
      </w:r>
    </w:p>
    <w:p w14:paraId="463EDC2F" w14:textId="0F92C630" w:rsidR="00F75043" w:rsidRPr="00F75043" w:rsidRDefault="00F75043" w:rsidP="00F75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491D076" w14:textId="4F93C58E" w:rsidR="00F75043" w:rsidRPr="00F75043" w:rsidRDefault="00F75043" w:rsidP="00F75043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75043">
        <w:rPr>
          <w:rFonts w:ascii="Arial" w:hAnsi="Arial" w:cs="Arial"/>
          <w:kern w:val="0"/>
          <w:sz w:val="24"/>
          <w:szCs w:val="24"/>
        </w:rPr>
        <w:t>USE NOTE</w:t>
      </w:r>
      <w:r w:rsidR="004017AF">
        <w:rPr>
          <w:rFonts w:ascii="Arial" w:hAnsi="Arial" w:cs="Arial"/>
          <w:kern w:val="0"/>
          <w:sz w:val="24"/>
          <w:szCs w:val="24"/>
        </w:rPr>
        <w:t>S</w:t>
      </w:r>
    </w:p>
    <w:p w14:paraId="18F73375" w14:textId="14D3C04D" w:rsidR="00F75043" w:rsidRPr="00F75043" w:rsidRDefault="00F75043" w:rsidP="00F75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75043">
        <w:rPr>
          <w:rFonts w:ascii="Arial" w:hAnsi="Arial" w:cs="Arial"/>
          <w:kern w:val="0"/>
          <w:sz w:val="24"/>
          <w:szCs w:val="24"/>
        </w:rPr>
        <w:tab/>
        <w:t xml:space="preserve">This instruction should be given in conjunction with either UJI 13-1101 or 13-1102 NMRA when evidence is presented in support of plaintiff's claim of negligent failure to refer the patient to another health care provider. </w:t>
      </w:r>
    </w:p>
    <w:p w14:paraId="563DD95E" w14:textId="14FB810F" w:rsidR="003302FF" w:rsidRPr="00F75043" w:rsidRDefault="00F75043" w:rsidP="00F75043">
      <w:pPr>
        <w:rPr>
          <w:rFonts w:ascii="Arial" w:hAnsi="Arial" w:cs="Arial"/>
        </w:rPr>
      </w:pPr>
      <w:r w:rsidRPr="00F75043">
        <w:rPr>
          <w:rFonts w:ascii="Arial" w:hAnsi="Arial" w:cs="Arial"/>
          <w:kern w:val="0"/>
          <w:sz w:val="24"/>
          <w:szCs w:val="24"/>
        </w:rPr>
        <w:t xml:space="preserve">[As amended, effective January 1, 1987.] </w:t>
      </w:r>
    </w:p>
    <w:sectPr w:rsidR="003302FF" w:rsidRPr="00F7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43"/>
    <w:rsid w:val="003302FF"/>
    <w:rsid w:val="004017AF"/>
    <w:rsid w:val="00F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3724"/>
  <w15:chartTrackingRefBased/>
  <w15:docId w15:val="{282699E1-61B5-4618-AC2B-C2F8CCB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64A11-0B56-498E-854E-C65CD8C92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778F7-3781-4A02-B071-83E16109F77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7BFE17DE-01BF-47F2-8E08-281D5F9C4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2</cp:revision>
  <dcterms:created xsi:type="dcterms:W3CDTF">2023-11-07T22:41:00Z</dcterms:created>
  <dcterms:modified xsi:type="dcterms:W3CDTF">2023-11-08T23:27:00Z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