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1AE3" w14:textId="0BF4591D" w:rsidR="00087D1B" w:rsidRPr="0062028A" w:rsidRDefault="00087D1B" w:rsidP="0062028A">
      <w:pPr>
        <w:spacing w:line="240" w:lineRule="auto"/>
        <w:ind w:firstLine="0"/>
        <w:jc w:val="left"/>
        <w:rPr>
          <w:rFonts w:ascii="Arial" w:hAnsi="Arial" w:cs="Arial"/>
          <w:b/>
          <w:bCs/>
          <w:color w:val="000000"/>
        </w:rPr>
      </w:pPr>
      <w:r w:rsidRPr="0062028A">
        <w:rPr>
          <w:rFonts w:ascii="Arial" w:hAnsi="Arial" w:cs="Arial"/>
          <w:b/>
          <w:bCs/>
          <w:color w:val="000000"/>
        </w:rPr>
        <w:t>14-376.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Aggravated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assault;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attempted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battery;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threat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or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menacing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conduct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with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a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deadly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weapon;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“household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member”;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essential</w:t>
      </w:r>
      <w:r w:rsidR="0062028A">
        <w:rPr>
          <w:rFonts w:ascii="Arial" w:hAnsi="Arial" w:cs="Arial"/>
          <w:b/>
          <w:bCs/>
          <w:color w:val="000000"/>
        </w:rPr>
        <w:t xml:space="preserve"> </w:t>
      </w:r>
      <w:r w:rsidRPr="0062028A">
        <w:rPr>
          <w:rFonts w:ascii="Arial" w:hAnsi="Arial" w:cs="Arial"/>
          <w:b/>
          <w:bCs/>
          <w:color w:val="000000"/>
        </w:rPr>
        <w:t>elements.</w:t>
      </w:r>
      <w:r w:rsidRPr="0062028A">
        <w:rPr>
          <w:rFonts w:ascii="Arial" w:hAnsi="Arial" w:cs="Arial"/>
          <w:color w:val="000000"/>
          <w:vertAlign w:val="superscript"/>
        </w:rPr>
        <w:t>1</w:t>
      </w:r>
    </w:p>
    <w:p w14:paraId="01937266" w14:textId="577E94B0" w:rsidR="00087D1B" w:rsidRPr="0062028A" w:rsidRDefault="00087D1B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For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you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to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find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defendant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guilty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aggravated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assault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use</w:t>
      </w:r>
      <w:r w:rsidR="00146C78" w:rsidRPr="0062028A">
        <w:rPr>
          <w:rFonts w:ascii="Arial" w:hAnsi="Arial" w:cs="Arial"/>
          <w:color w:val="000000"/>
          <w:vertAlign w:val="superscript"/>
        </w:rPr>
        <w:t>2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deadly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weapon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against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household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member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[as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charged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Count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______],</w:t>
      </w:r>
      <w:r w:rsidR="00146C78" w:rsidRPr="0062028A">
        <w:rPr>
          <w:rFonts w:ascii="Arial" w:hAnsi="Arial" w:cs="Arial"/>
          <w:color w:val="000000"/>
          <w:vertAlign w:val="superscript"/>
        </w:rPr>
        <w:t>3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state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must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prove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to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your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satisfaction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beyond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reasonable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doubt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each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following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elements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crime:</w:t>
      </w:r>
    </w:p>
    <w:p w14:paraId="1098772B" w14:textId="1E56E841" w:rsidR="00087D1B" w:rsidRPr="0062028A" w:rsidRDefault="00087D1B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1</w:t>
      </w:r>
      <w:r w:rsidR="000A7C64" w:rsidRPr="0062028A">
        <w:rPr>
          <w:rFonts w:ascii="Arial" w:hAnsi="Arial" w:cs="Arial"/>
          <w:color w:val="000000"/>
        </w:rPr>
        <w:t>.</w:t>
      </w:r>
      <w:r w:rsidR="000A7C64" w:rsidRPr="0062028A">
        <w:rPr>
          <w:rFonts w:ascii="Arial" w:hAnsi="Arial" w:cs="Arial"/>
          <w:color w:val="000000"/>
        </w:rPr>
        <w:tab/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defendant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intended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to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commit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crime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battery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against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_______________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(</w:t>
      </w:r>
      <w:r w:rsidRPr="0062028A">
        <w:rPr>
          <w:rFonts w:ascii="Arial" w:hAnsi="Arial" w:cs="Arial"/>
          <w:i/>
          <w:iCs/>
          <w:color w:val="000000"/>
        </w:rPr>
        <w:t>name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of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victim</w:t>
      </w:r>
      <w:r w:rsidRPr="0062028A">
        <w:rPr>
          <w:rFonts w:ascii="Arial" w:hAnsi="Arial" w:cs="Arial"/>
          <w:color w:val="000000"/>
        </w:rPr>
        <w:t>)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by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__________________;</w:t>
      </w:r>
      <w:r w:rsidR="00146C78" w:rsidRPr="0062028A">
        <w:rPr>
          <w:rFonts w:ascii="Arial" w:hAnsi="Arial" w:cs="Arial"/>
          <w:color w:val="000000"/>
          <w:vertAlign w:val="superscript"/>
        </w:rPr>
        <w:t>4</w:t>
      </w:r>
    </w:p>
    <w:p w14:paraId="4420645E" w14:textId="7CC8C3CE" w:rsidR="00087D1B" w:rsidRPr="0062028A" w:rsidRDefault="00087D1B" w:rsidP="0062028A">
      <w:pPr>
        <w:spacing w:line="240" w:lineRule="auto"/>
        <w:jc w:val="left"/>
        <w:rPr>
          <w:rFonts w:ascii="Arial" w:hAnsi="Arial" w:cs="Arial"/>
          <w:strike/>
          <w:color w:val="000000"/>
        </w:rPr>
      </w:pP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battery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consists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intentionally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touching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applying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force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rude,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insolent,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angry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manner.</w:t>
      </w:r>
      <w:r w:rsidR="00146C78" w:rsidRPr="0062028A">
        <w:rPr>
          <w:rFonts w:ascii="Arial" w:hAnsi="Arial" w:cs="Arial"/>
          <w:color w:val="000000"/>
          <w:vertAlign w:val="superscript"/>
        </w:rPr>
        <w:t>5</w:t>
      </w:r>
    </w:p>
    <w:p w14:paraId="29B754E3" w14:textId="1E0DC9CC" w:rsidR="00087D1B" w:rsidRPr="0062028A" w:rsidRDefault="00087D1B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2.</w:t>
      </w:r>
      <w:r w:rsidR="000A7C64" w:rsidRPr="0062028A">
        <w:rPr>
          <w:rFonts w:ascii="Arial" w:hAnsi="Arial" w:cs="Arial"/>
          <w:color w:val="000000"/>
        </w:rPr>
        <w:tab/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defendant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began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to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do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act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which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constituted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substantial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part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battery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but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failed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to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commit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battery;</w:t>
      </w:r>
    </w:p>
    <w:p w14:paraId="79404574" w14:textId="77777777" w:rsidR="00087D1B" w:rsidRPr="0062028A" w:rsidRDefault="00087D1B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OR</w:t>
      </w:r>
    </w:p>
    <w:p w14:paraId="31B56DCD" w14:textId="6372B05E" w:rsidR="00087D1B" w:rsidRPr="0062028A" w:rsidRDefault="00087D1B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1.</w:t>
      </w:r>
      <w:r w:rsidR="000A7C64" w:rsidRPr="0062028A">
        <w:rPr>
          <w:rFonts w:ascii="Arial" w:hAnsi="Arial" w:cs="Arial"/>
          <w:color w:val="000000"/>
        </w:rPr>
        <w:tab/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defendant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__________________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(</w:t>
      </w:r>
      <w:r w:rsidRPr="0062028A">
        <w:rPr>
          <w:rFonts w:ascii="Arial" w:hAnsi="Arial" w:cs="Arial"/>
          <w:i/>
          <w:iCs/>
          <w:color w:val="000000"/>
        </w:rPr>
        <w:t>describe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unlawful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act,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threat,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or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menacing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="000A7C64" w:rsidRPr="0062028A">
        <w:rPr>
          <w:rFonts w:ascii="Arial" w:hAnsi="Arial" w:cs="Arial"/>
          <w:i/>
          <w:color w:val="000000"/>
        </w:rPr>
        <w:t>conduct)</w:t>
      </w:r>
      <w:r w:rsidR="000A7C64" w:rsidRPr="0062028A">
        <w:rPr>
          <w:rFonts w:ascii="Arial" w:hAnsi="Arial" w:cs="Arial"/>
          <w:color w:val="000000"/>
        </w:rPr>
        <w:t>;</w:t>
      </w:r>
      <w:r w:rsidR="00146C78" w:rsidRPr="0062028A">
        <w:rPr>
          <w:rFonts w:ascii="Arial" w:hAnsi="Arial" w:cs="Arial"/>
          <w:color w:val="000000"/>
          <w:vertAlign w:val="superscript"/>
        </w:rPr>
        <w:t>4</w:t>
      </w:r>
    </w:p>
    <w:p w14:paraId="1842124A" w14:textId="445E34CB" w:rsidR="00087D1B" w:rsidRPr="0062028A" w:rsidRDefault="00087D1B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2.</w:t>
      </w:r>
      <w:r w:rsidR="000A7C64" w:rsidRPr="0062028A">
        <w:rPr>
          <w:rFonts w:ascii="Arial" w:hAnsi="Arial" w:cs="Arial"/>
          <w:color w:val="000000"/>
        </w:rPr>
        <w:tab/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defendant’s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conduct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caused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__________________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(</w:t>
      </w:r>
      <w:r w:rsidRPr="0062028A">
        <w:rPr>
          <w:rFonts w:ascii="Arial" w:hAnsi="Arial" w:cs="Arial"/>
          <w:i/>
          <w:iCs/>
          <w:color w:val="000000"/>
        </w:rPr>
        <w:t>name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of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victim</w:t>
      </w:r>
      <w:r w:rsidRPr="0062028A">
        <w:rPr>
          <w:rFonts w:ascii="Arial" w:hAnsi="Arial" w:cs="Arial"/>
          <w:color w:val="000000"/>
        </w:rPr>
        <w:t>)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to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believe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that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defendant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was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about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to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intrude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__________________’s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(</w:t>
      </w:r>
      <w:r w:rsidRPr="0062028A">
        <w:rPr>
          <w:rFonts w:ascii="Arial" w:hAnsi="Arial" w:cs="Arial"/>
          <w:i/>
          <w:iCs/>
          <w:color w:val="000000"/>
        </w:rPr>
        <w:t>name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of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victim</w:t>
      </w:r>
      <w:r w:rsidRPr="0062028A">
        <w:rPr>
          <w:rFonts w:ascii="Arial" w:hAnsi="Arial" w:cs="Arial"/>
          <w:color w:val="000000"/>
        </w:rPr>
        <w:t>)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bodily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integrity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personal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safety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touching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applying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force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to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__________________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(</w:t>
      </w:r>
      <w:r w:rsidRPr="0062028A">
        <w:rPr>
          <w:rFonts w:ascii="Arial" w:hAnsi="Arial" w:cs="Arial"/>
          <w:i/>
          <w:iCs/>
          <w:color w:val="000000"/>
        </w:rPr>
        <w:t>name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of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victim</w:t>
      </w:r>
      <w:r w:rsidRPr="0062028A">
        <w:rPr>
          <w:rFonts w:ascii="Arial" w:hAnsi="Arial" w:cs="Arial"/>
          <w:color w:val="000000"/>
        </w:rPr>
        <w:t>)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rude,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insolent,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angry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manner;</w:t>
      </w:r>
      <w:r w:rsidR="00146C78" w:rsidRPr="0062028A">
        <w:rPr>
          <w:rFonts w:ascii="Arial" w:hAnsi="Arial" w:cs="Arial"/>
          <w:color w:val="000000"/>
          <w:vertAlign w:val="superscript"/>
        </w:rPr>
        <w:t>5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and</w:t>
      </w:r>
    </w:p>
    <w:p w14:paraId="39C458EE" w14:textId="5708661C" w:rsidR="00087D1B" w:rsidRPr="0062028A" w:rsidRDefault="00087D1B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3.</w:t>
      </w:r>
      <w:r w:rsidR="000A7C64" w:rsidRPr="0062028A">
        <w:rPr>
          <w:rFonts w:ascii="Arial" w:hAnsi="Arial" w:cs="Arial"/>
          <w:color w:val="000000"/>
        </w:rPr>
        <w:tab/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reasonable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person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same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circumstances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________________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(</w:t>
      </w:r>
      <w:r w:rsidRPr="0062028A">
        <w:rPr>
          <w:rFonts w:ascii="Arial" w:hAnsi="Arial" w:cs="Arial"/>
          <w:i/>
          <w:iCs/>
          <w:color w:val="000000"/>
        </w:rPr>
        <w:t>name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of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victim</w:t>
      </w:r>
      <w:r w:rsidRPr="0062028A">
        <w:rPr>
          <w:rFonts w:ascii="Arial" w:hAnsi="Arial" w:cs="Arial"/>
          <w:color w:val="000000"/>
        </w:rPr>
        <w:t>)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would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have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had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same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belief;</w:t>
      </w:r>
    </w:p>
    <w:p w14:paraId="3C947735" w14:textId="77777777" w:rsidR="00087D1B" w:rsidRPr="0062028A" w:rsidRDefault="00087D1B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AND</w:t>
      </w:r>
    </w:p>
    <w:p w14:paraId="26ADF071" w14:textId="00133437" w:rsidR="00087D1B" w:rsidRPr="0062028A" w:rsidRDefault="00087D1B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4.</w:t>
      </w:r>
      <w:r w:rsidR="000A7C64" w:rsidRPr="0062028A">
        <w:rPr>
          <w:rFonts w:ascii="Arial" w:hAnsi="Arial" w:cs="Arial"/>
          <w:color w:val="000000"/>
        </w:rPr>
        <w:tab/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defendant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used</w:t>
      </w:r>
      <w:r w:rsidR="002C2486" w:rsidRPr="0062028A">
        <w:rPr>
          <w:rFonts w:ascii="Arial" w:hAnsi="Arial" w:cs="Arial"/>
          <w:color w:val="000000"/>
          <w:vertAlign w:val="superscript"/>
        </w:rPr>
        <w:t>2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[__________________]</w:t>
      </w:r>
      <w:r w:rsidR="00146C78" w:rsidRPr="0062028A">
        <w:rPr>
          <w:rFonts w:ascii="Arial" w:hAnsi="Arial" w:cs="Arial"/>
          <w:color w:val="000000"/>
          <w:vertAlign w:val="superscript"/>
        </w:rPr>
        <w:t>6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[deadly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weapon.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defendant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used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__________________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(</w:t>
      </w:r>
      <w:r w:rsidRPr="0062028A">
        <w:rPr>
          <w:rFonts w:ascii="Arial" w:hAnsi="Arial" w:cs="Arial"/>
          <w:i/>
          <w:iCs/>
          <w:color w:val="000000"/>
        </w:rPr>
        <w:t>name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of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object</w:t>
      </w:r>
      <w:r w:rsidRPr="0062028A">
        <w:rPr>
          <w:rFonts w:ascii="Arial" w:hAnsi="Arial" w:cs="Arial"/>
          <w:color w:val="000000"/>
        </w:rPr>
        <w:t>).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__________________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(</w:t>
      </w:r>
      <w:r w:rsidRPr="0062028A">
        <w:rPr>
          <w:rFonts w:ascii="Arial" w:hAnsi="Arial" w:cs="Arial"/>
          <w:i/>
          <w:iCs/>
          <w:color w:val="000000"/>
        </w:rPr>
        <w:t>name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of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object</w:t>
      </w:r>
      <w:r w:rsidRPr="0062028A">
        <w:rPr>
          <w:rFonts w:ascii="Arial" w:hAnsi="Arial" w:cs="Arial"/>
          <w:color w:val="000000"/>
        </w:rPr>
        <w:t>)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deadly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weapon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only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you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find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that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__________________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(</w:t>
      </w:r>
      <w:r w:rsidRPr="0062028A">
        <w:rPr>
          <w:rFonts w:ascii="Arial" w:hAnsi="Arial" w:cs="Arial"/>
          <w:i/>
          <w:iCs/>
          <w:color w:val="000000"/>
        </w:rPr>
        <w:t>name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of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object</w:t>
      </w:r>
      <w:r w:rsidRPr="0062028A">
        <w:rPr>
          <w:rFonts w:ascii="Arial" w:hAnsi="Arial" w:cs="Arial"/>
          <w:color w:val="000000"/>
        </w:rPr>
        <w:t>),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when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used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weapon,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could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cause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death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great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bodily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har</w:t>
      </w:r>
      <w:r w:rsidR="000A7C64" w:rsidRPr="0062028A">
        <w:rPr>
          <w:rFonts w:ascii="Arial" w:hAnsi="Arial" w:cs="Arial"/>
          <w:color w:val="000000"/>
        </w:rPr>
        <w:t>m</w:t>
      </w:r>
      <w:r w:rsidR="00146C78" w:rsidRPr="0062028A">
        <w:rPr>
          <w:rFonts w:ascii="Arial" w:hAnsi="Arial" w:cs="Arial"/>
          <w:color w:val="000000"/>
          <w:vertAlign w:val="superscript"/>
        </w:rPr>
        <w:t>7</w:t>
      </w:r>
      <w:r w:rsidR="00146C78" w:rsidRPr="0062028A">
        <w:rPr>
          <w:rFonts w:ascii="Arial" w:hAnsi="Arial" w:cs="Arial"/>
          <w:color w:val="000000"/>
        </w:rPr>
        <w:t>]</w:t>
      </w:r>
      <w:r w:rsidRPr="0062028A">
        <w:rPr>
          <w:rFonts w:ascii="Arial" w:hAnsi="Arial" w:cs="Arial"/>
          <w:color w:val="000000"/>
        </w:rPr>
        <w:t>;</w:t>
      </w:r>
      <w:r w:rsidR="00146C78" w:rsidRPr="0062028A">
        <w:rPr>
          <w:rFonts w:ascii="Arial" w:hAnsi="Arial" w:cs="Arial"/>
          <w:color w:val="000000"/>
          <w:vertAlign w:val="superscript"/>
        </w:rPr>
        <w:t>8</w:t>
      </w:r>
    </w:p>
    <w:p w14:paraId="79EDDDC3" w14:textId="07CDD816" w:rsidR="00087D1B" w:rsidRPr="0062028A" w:rsidRDefault="00087D1B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5.</w:t>
      </w:r>
      <w:r w:rsidR="000A7C64" w:rsidRPr="0062028A">
        <w:rPr>
          <w:rFonts w:ascii="Arial" w:hAnsi="Arial" w:cs="Arial"/>
          <w:color w:val="000000"/>
        </w:rPr>
        <w:tab/>
      </w:r>
      <w:r w:rsidRPr="0062028A">
        <w:rPr>
          <w:rFonts w:ascii="Arial" w:hAnsi="Arial" w:cs="Arial"/>
          <w:color w:val="000000"/>
        </w:rPr>
        <w:t>__________________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(</w:t>
      </w:r>
      <w:r w:rsidRPr="0062028A">
        <w:rPr>
          <w:rFonts w:ascii="Arial" w:hAnsi="Arial" w:cs="Arial"/>
          <w:i/>
          <w:iCs/>
          <w:color w:val="000000"/>
        </w:rPr>
        <w:t>name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of</w:t>
      </w:r>
      <w:r w:rsidR="0062028A">
        <w:rPr>
          <w:rFonts w:ascii="Arial" w:hAnsi="Arial" w:cs="Arial"/>
          <w:i/>
          <w:iCs/>
          <w:color w:val="000000"/>
        </w:rPr>
        <w:t xml:space="preserve"> </w:t>
      </w:r>
      <w:r w:rsidRPr="0062028A">
        <w:rPr>
          <w:rFonts w:ascii="Arial" w:hAnsi="Arial" w:cs="Arial"/>
          <w:i/>
          <w:iCs/>
          <w:color w:val="000000"/>
        </w:rPr>
        <w:t>victim</w:t>
      </w:r>
      <w:r w:rsidRPr="0062028A">
        <w:rPr>
          <w:rFonts w:ascii="Arial" w:hAnsi="Arial" w:cs="Arial"/>
          <w:color w:val="000000"/>
        </w:rPr>
        <w:t>)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was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household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member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defendant;</w:t>
      </w:r>
      <w:r w:rsidR="00146C78" w:rsidRPr="0062028A">
        <w:rPr>
          <w:rFonts w:ascii="Arial" w:hAnsi="Arial" w:cs="Arial"/>
          <w:color w:val="000000"/>
          <w:vertAlign w:val="superscript"/>
        </w:rPr>
        <w:t>9</w:t>
      </w:r>
    </w:p>
    <w:p w14:paraId="35618351" w14:textId="544B53FF" w:rsidR="00087D1B" w:rsidRPr="0062028A" w:rsidRDefault="00087D1B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6.</w:t>
      </w:r>
      <w:r w:rsidR="000A7C64" w:rsidRPr="0062028A">
        <w:rPr>
          <w:rFonts w:ascii="Arial" w:hAnsi="Arial" w:cs="Arial"/>
          <w:color w:val="000000"/>
        </w:rPr>
        <w:tab/>
      </w:r>
      <w:r w:rsidRPr="0062028A">
        <w:rPr>
          <w:rFonts w:ascii="Arial" w:hAnsi="Arial" w:cs="Arial"/>
          <w:color w:val="000000"/>
        </w:rPr>
        <w:t>This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happened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New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Mexico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about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__________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day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___________,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________.</w:t>
      </w:r>
    </w:p>
    <w:p w14:paraId="78F78F77" w14:textId="77777777" w:rsidR="000A7C64" w:rsidRPr="0062028A" w:rsidRDefault="000A7C64" w:rsidP="0062028A">
      <w:pPr>
        <w:spacing w:line="240" w:lineRule="auto"/>
        <w:jc w:val="left"/>
        <w:rPr>
          <w:rFonts w:ascii="Arial" w:hAnsi="Arial" w:cs="Arial"/>
          <w:color w:val="000000"/>
        </w:rPr>
      </w:pPr>
    </w:p>
    <w:p w14:paraId="4C47CEA7" w14:textId="4B657EBF" w:rsidR="00087D1B" w:rsidRPr="0062028A" w:rsidRDefault="00087D1B" w:rsidP="0062028A">
      <w:pPr>
        <w:spacing w:line="240" w:lineRule="auto"/>
        <w:ind w:firstLine="0"/>
        <w:jc w:val="center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USE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NOTES</w:t>
      </w:r>
    </w:p>
    <w:p w14:paraId="79CFB169" w14:textId="5CDCC915" w:rsidR="00087D1B" w:rsidRPr="0062028A" w:rsidRDefault="00087D1B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1.</w:t>
      </w:r>
      <w:r w:rsidR="000A7C64" w:rsidRPr="0062028A">
        <w:rPr>
          <w:rFonts w:ascii="Arial" w:hAnsi="Arial" w:cs="Arial"/>
          <w:color w:val="000000"/>
        </w:rPr>
        <w:tab/>
      </w:r>
      <w:r w:rsidRPr="0062028A">
        <w:rPr>
          <w:rFonts w:ascii="Arial" w:hAnsi="Arial" w:cs="Arial"/>
          <w:color w:val="000000"/>
        </w:rPr>
        <w:t>This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instruction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sets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forth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elements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two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types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aggravated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assault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against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household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member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Section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</w:rPr>
        <w:t>30-3-13</w:t>
      </w:r>
      <w:r w:rsidR="0062028A">
        <w:rPr>
          <w:rFonts w:ascii="Arial" w:hAnsi="Arial" w:cs="Arial"/>
        </w:rPr>
        <w:t xml:space="preserve"> </w:t>
      </w:r>
      <w:r w:rsidR="000A7C64" w:rsidRPr="0062028A">
        <w:rPr>
          <w:rFonts w:ascii="Arial" w:hAnsi="Arial" w:cs="Arial"/>
        </w:rPr>
        <w:t>NMSA</w:t>
      </w:r>
      <w:r w:rsidR="0062028A">
        <w:rPr>
          <w:rFonts w:ascii="Arial" w:hAnsi="Arial" w:cs="Arial"/>
        </w:rPr>
        <w:t xml:space="preserve"> </w:t>
      </w:r>
      <w:r w:rsidR="000A7C64" w:rsidRPr="0062028A">
        <w:rPr>
          <w:rFonts w:ascii="Arial" w:hAnsi="Arial" w:cs="Arial"/>
        </w:rPr>
        <w:t>1978</w:t>
      </w:r>
      <w:r w:rsidRPr="0062028A">
        <w:rPr>
          <w:rFonts w:ascii="Arial" w:hAnsi="Arial" w:cs="Arial"/>
          <w:color w:val="000000"/>
        </w:rPr>
        <w:t>.</w:t>
      </w:r>
    </w:p>
    <w:p w14:paraId="2FD5F3B2" w14:textId="3DC85A83" w:rsidR="00146C78" w:rsidRPr="0062028A" w:rsidRDefault="00146C78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2.</w:t>
      </w:r>
      <w:r w:rsidRPr="0062028A">
        <w:rPr>
          <w:rFonts w:ascii="Arial" w:hAnsi="Arial" w:cs="Arial"/>
          <w:color w:val="000000"/>
        </w:rPr>
        <w:tab/>
      </w:r>
      <w:r w:rsidR="00FC38F7" w:rsidRPr="0062028A">
        <w:rPr>
          <w:rFonts w:ascii="Arial" w:hAnsi="Arial" w:cs="Arial"/>
          <w:color w:val="000000"/>
          <w:szCs w:val="24"/>
        </w:rPr>
        <w:t>If</w:t>
      </w:r>
      <w:r w:rsidR="0062028A">
        <w:rPr>
          <w:rFonts w:ascii="Arial" w:hAnsi="Arial" w:cs="Arial"/>
          <w:color w:val="000000"/>
          <w:szCs w:val="24"/>
        </w:rPr>
        <w:t xml:space="preserve"> </w:t>
      </w:r>
      <w:r w:rsidR="00FC38F7" w:rsidRPr="0062028A">
        <w:rPr>
          <w:rFonts w:ascii="Arial" w:hAnsi="Arial" w:cs="Arial"/>
          <w:color w:val="000000"/>
          <w:szCs w:val="24"/>
        </w:rPr>
        <w:t>use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weapon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is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in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issue,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UJI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14-135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NMRA,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definition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“use,”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must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also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be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given.</w:t>
      </w:r>
    </w:p>
    <w:p w14:paraId="3DF2B288" w14:textId="67A08E53" w:rsidR="00087D1B" w:rsidRPr="0062028A" w:rsidRDefault="00146C78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3.</w:t>
      </w:r>
      <w:r w:rsidR="0062028A">
        <w:rPr>
          <w:rFonts w:ascii="Arial" w:hAnsi="Arial" w:cs="Arial"/>
          <w:color w:val="000000"/>
        </w:rPr>
        <w:tab/>
      </w:r>
      <w:r w:rsidR="00087D1B" w:rsidRPr="0062028A">
        <w:rPr>
          <w:rFonts w:ascii="Arial" w:hAnsi="Arial" w:cs="Arial"/>
          <w:color w:val="000000"/>
        </w:rPr>
        <w:t>Insert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count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number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more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than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one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count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is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charged.</w:t>
      </w:r>
    </w:p>
    <w:p w14:paraId="22B7CE18" w14:textId="616BCF77" w:rsidR="00087D1B" w:rsidRPr="0062028A" w:rsidRDefault="00146C78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4.</w:t>
      </w:r>
      <w:r w:rsidR="0062028A">
        <w:rPr>
          <w:rFonts w:ascii="Arial" w:hAnsi="Arial" w:cs="Arial"/>
          <w:color w:val="000000"/>
        </w:rPr>
        <w:tab/>
      </w:r>
      <w:r w:rsidR="00087D1B" w:rsidRPr="0062028A">
        <w:rPr>
          <w:rFonts w:ascii="Arial" w:hAnsi="Arial" w:cs="Arial"/>
          <w:color w:val="000000"/>
        </w:rPr>
        <w:t>Use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ordinary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language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to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describe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touching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application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force.</w:t>
      </w:r>
    </w:p>
    <w:p w14:paraId="006A3B86" w14:textId="49EA874D" w:rsidR="00087D1B" w:rsidRPr="0062028A" w:rsidRDefault="00146C78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5.</w:t>
      </w:r>
      <w:r w:rsidR="0062028A">
        <w:rPr>
          <w:rFonts w:ascii="Arial" w:hAnsi="Arial" w:cs="Arial"/>
          <w:color w:val="000000"/>
        </w:rPr>
        <w:tab/>
      </w:r>
      <w:r w:rsidR="00087D1B" w:rsidRPr="0062028A">
        <w:rPr>
          <w:rFonts w:ascii="Arial" w:hAnsi="Arial" w:cs="Arial"/>
          <w:color w:val="000000"/>
        </w:rPr>
        <w:t>If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“unlawfulness”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act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is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in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issue,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add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unlawfulness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as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an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element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as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provided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by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Use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Note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1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UJI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</w:rPr>
        <w:t>14-132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NMRA.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In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addition,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UJI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14-132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NMRA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is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given.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iss</w:t>
      </w:r>
      <w:r w:rsidRPr="0062028A">
        <w:rPr>
          <w:rFonts w:ascii="Arial" w:hAnsi="Arial" w:cs="Arial"/>
          <w:color w:val="000000"/>
        </w:rPr>
        <w:t>ue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“lawfulness”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involves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self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defense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defense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another,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i/>
          <w:iCs/>
          <w:color w:val="000000"/>
        </w:rPr>
        <w:t>see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UJI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</w:rPr>
        <w:t>14-5181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NMRA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to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UJI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</w:rPr>
        <w:t>14-5184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NMRA.</w:t>
      </w:r>
    </w:p>
    <w:p w14:paraId="067A3E21" w14:textId="608D7282" w:rsidR="00087D1B" w:rsidRPr="0062028A" w:rsidRDefault="00146C78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6.</w:t>
      </w:r>
      <w:r w:rsidR="0062028A">
        <w:rPr>
          <w:rFonts w:ascii="Arial" w:hAnsi="Arial" w:cs="Arial"/>
          <w:color w:val="000000"/>
        </w:rPr>
        <w:tab/>
      </w:r>
      <w:r w:rsidR="00087D1B" w:rsidRPr="0062028A">
        <w:rPr>
          <w:rFonts w:ascii="Arial" w:hAnsi="Arial" w:cs="Arial"/>
          <w:color w:val="000000"/>
        </w:rPr>
        <w:t>Insert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name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weapon.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Use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this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alternative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only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deadly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weapon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is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specifically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listed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in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Section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30-1-12(B)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NMSA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1978</w:t>
      </w:r>
      <w:r w:rsidR="00087D1B" w:rsidRPr="0062028A">
        <w:rPr>
          <w:rFonts w:ascii="Arial" w:hAnsi="Arial" w:cs="Arial"/>
          <w:color w:val="000000"/>
        </w:rPr>
        <w:t>.</w:t>
      </w:r>
    </w:p>
    <w:p w14:paraId="1AAE1F2E" w14:textId="4BAA32EF" w:rsidR="00087D1B" w:rsidRPr="0062028A" w:rsidRDefault="00146C78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7.</w:t>
      </w:r>
      <w:r w:rsidR="0062028A">
        <w:rPr>
          <w:rFonts w:ascii="Arial" w:hAnsi="Arial" w:cs="Arial"/>
          <w:color w:val="000000"/>
        </w:rPr>
        <w:tab/>
      </w:r>
      <w:r w:rsidR="00087D1B" w:rsidRPr="0062028A">
        <w:rPr>
          <w:rFonts w:ascii="Arial" w:hAnsi="Arial" w:cs="Arial"/>
          <w:color w:val="000000"/>
        </w:rPr>
        <w:t>UJI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</w:rPr>
        <w:t>14-131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NMRA,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definition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“great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bodily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harm,”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must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also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be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given.</w:t>
      </w:r>
    </w:p>
    <w:p w14:paraId="24EEE69C" w14:textId="463A72DB" w:rsidR="00087D1B" w:rsidRPr="0062028A" w:rsidRDefault="00146C78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lastRenderedPageBreak/>
        <w:t>8.</w:t>
      </w:r>
      <w:r w:rsidR="0062028A">
        <w:rPr>
          <w:rFonts w:ascii="Arial" w:hAnsi="Arial" w:cs="Arial"/>
          <w:color w:val="000000"/>
        </w:rPr>
        <w:tab/>
      </w:r>
      <w:r w:rsidR="00087D1B" w:rsidRPr="0062028A">
        <w:rPr>
          <w:rFonts w:ascii="Arial" w:hAnsi="Arial" w:cs="Arial"/>
          <w:color w:val="000000"/>
        </w:rPr>
        <w:t>This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alternative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is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given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only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the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object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used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is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not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“deadly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weapon”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which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is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specifically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listed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in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Section</w:t>
      </w:r>
      <w:r w:rsidR="0062028A">
        <w:rPr>
          <w:rFonts w:ascii="Arial" w:hAnsi="Arial" w:cs="Arial"/>
          <w:color w:val="000000"/>
        </w:rPr>
        <w:t xml:space="preserve"> </w:t>
      </w:r>
      <w:r w:rsidR="000A7C64" w:rsidRPr="0062028A">
        <w:rPr>
          <w:rFonts w:ascii="Arial" w:hAnsi="Arial" w:cs="Arial"/>
          <w:color w:val="000000"/>
        </w:rPr>
        <w:t>30-1-12(B)</w:t>
      </w:r>
      <w:r w:rsidR="0062028A">
        <w:rPr>
          <w:rFonts w:ascii="Arial" w:hAnsi="Arial" w:cs="Arial"/>
          <w:color w:val="000000"/>
        </w:rPr>
        <w:t xml:space="preserve"> </w:t>
      </w:r>
      <w:r w:rsidR="00E06931" w:rsidRPr="0062028A">
        <w:rPr>
          <w:rFonts w:ascii="Arial" w:hAnsi="Arial" w:cs="Arial"/>
          <w:color w:val="000000"/>
        </w:rPr>
        <w:t>NMSA</w:t>
      </w:r>
      <w:r w:rsidR="0062028A">
        <w:rPr>
          <w:rFonts w:ascii="Arial" w:hAnsi="Arial" w:cs="Arial"/>
          <w:color w:val="000000"/>
        </w:rPr>
        <w:t xml:space="preserve"> </w:t>
      </w:r>
      <w:r w:rsidR="00E06931" w:rsidRPr="0062028A">
        <w:rPr>
          <w:rFonts w:ascii="Arial" w:hAnsi="Arial" w:cs="Arial"/>
          <w:color w:val="000000"/>
        </w:rPr>
        <w:t>1978</w:t>
      </w:r>
      <w:r w:rsidR="00087D1B" w:rsidRPr="0062028A">
        <w:rPr>
          <w:rFonts w:ascii="Arial" w:hAnsi="Arial" w:cs="Arial"/>
          <w:color w:val="000000"/>
        </w:rPr>
        <w:t>.</w:t>
      </w:r>
    </w:p>
    <w:p w14:paraId="7C11C066" w14:textId="6BCAA61E" w:rsidR="00087D1B" w:rsidRPr="0062028A" w:rsidRDefault="00146C78" w:rsidP="0062028A">
      <w:pPr>
        <w:spacing w:line="240" w:lineRule="auto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9.</w:t>
      </w:r>
      <w:r w:rsidR="0062028A">
        <w:rPr>
          <w:rFonts w:ascii="Arial" w:hAnsi="Arial" w:cs="Arial"/>
          <w:color w:val="000000"/>
        </w:rPr>
        <w:tab/>
      </w:r>
      <w:r w:rsidR="00087D1B" w:rsidRPr="0062028A">
        <w:rPr>
          <w:rFonts w:ascii="Arial" w:hAnsi="Arial" w:cs="Arial"/>
          <w:color w:val="000000"/>
        </w:rPr>
        <w:t>Definition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of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a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household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member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should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be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given,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i/>
          <w:iCs/>
          <w:color w:val="000000"/>
        </w:rPr>
        <w:t>see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UJI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</w:rPr>
        <w:t>14-370</w:t>
      </w:r>
      <w:r w:rsidR="0062028A">
        <w:rPr>
          <w:rFonts w:ascii="Arial" w:hAnsi="Arial" w:cs="Arial"/>
          <w:color w:val="000000"/>
        </w:rPr>
        <w:t xml:space="preserve"> </w:t>
      </w:r>
      <w:r w:rsidR="00087D1B" w:rsidRPr="0062028A">
        <w:rPr>
          <w:rFonts w:ascii="Arial" w:hAnsi="Arial" w:cs="Arial"/>
          <w:color w:val="000000"/>
        </w:rPr>
        <w:t>NMRA.</w:t>
      </w:r>
    </w:p>
    <w:p w14:paraId="500EF147" w14:textId="1AC378D8" w:rsidR="00AD18C6" w:rsidRDefault="00087D1B" w:rsidP="0062028A">
      <w:pPr>
        <w:spacing w:line="240" w:lineRule="auto"/>
        <w:ind w:firstLine="0"/>
        <w:jc w:val="left"/>
        <w:rPr>
          <w:rFonts w:ascii="Arial" w:hAnsi="Arial" w:cs="Arial"/>
          <w:color w:val="000000"/>
        </w:rPr>
      </w:pPr>
      <w:r w:rsidRPr="0062028A">
        <w:rPr>
          <w:rFonts w:ascii="Arial" w:hAnsi="Arial" w:cs="Arial"/>
          <w:color w:val="000000"/>
        </w:rPr>
        <w:t>[Adopted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Supreme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Court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Order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No.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14-8300-005,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effective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for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all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cases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filed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pending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after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December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31,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2014;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amended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by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Supreme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Court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Order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No.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16-8300-008,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effective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for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all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cases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pending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filed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on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after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December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31,</w:t>
      </w:r>
      <w:r w:rsidR="0062028A">
        <w:rPr>
          <w:rFonts w:ascii="Arial" w:hAnsi="Arial" w:cs="Arial"/>
          <w:color w:val="000000"/>
        </w:rPr>
        <w:t xml:space="preserve"> </w:t>
      </w:r>
      <w:r w:rsidRPr="0062028A">
        <w:rPr>
          <w:rFonts w:ascii="Arial" w:hAnsi="Arial" w:cs="Arial"/>
          <w:color w:val="000000"/>
        </w:rPr>
        <w:t>2016</w:t>
      </w:r>
      <w:r w:rsidR="00146C78" w:rsidRPr="0062028A">
        <w:rPr>
          <w:rFonts w:ascii="Arial" w:hAnsi="Arial" w:cs="Arial"/>
          <w:color w:val="000000"/>
        </w:rPr>
        <w:t>;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as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amended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by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Supreme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Court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Order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No.</w:t>
      </w:r>
      <w:r w:rsidR="0062028A">
        <w:rPr>
          <w:rFonts w:ascii="Arial" w:hAnsi="Arial" w:cs="Arial"/>
          <w:color w:val="000000"/>
        </w:rPr>
        <w:t xml:space="preserve"> </w:t>
      </w:r>
      <w:r w:rsidR="007576C5">
        <w:rPr>
          <w:rFonts w:ascii="Arial" w:hAnsi="Arial" w:cs="Arial"/>
          <w:szCs w:val="24"/>
        </w:rPr>
        <w:t>S-1-RCR-2023-00030</w:t>
      </w:r>
      <w:r w:rsidR="00146C78" w:rsidRPr="0062028A">
        <w:rPr>
          <w:rFonts w:ascii="Arial" w:hAnsi="Arial" w:cs="Arial"/>
          <w:color w:val="000000"/>
        </w:rPr>
        <w:t>,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effective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for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all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cases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pending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="00FC38F7" w:rsidRPr="0062028A">
        <w:rPr>
          <w:rFonts w:ascii="Arial" w:hAnsi="Arial" w:cs="Arial"/>
          <w:color w:val="000000"/>
        </w:rPr>
        <w:t>filed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on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or</w:t>
      </w:r>
      <w:r w:rsidR="0062028A">
        <w:rPr>
          <w:rFonts w:ascii="Arial" w:hAnsi="Arial" w:cs="Arial"/>
          <w:color w:val="000000"/>
        </w:rPr>
        <w:t xml:space="preserve"> </w:t>
      </w:r>
      <w:r w:rsidR="00146C78" w:rsidRPr="0062028A">
        <w:rPr>
          <w:rFonts w:ascii="Arial" w:hAnsi="Arial" w:cs="Arial"/>
          <w:color w:val="000000"/>
        </w:rPr>
        <w:t>after</w:t>
      </w:r>
      <w:r w:rsidR="0062028A">
        <w:rPr>
          <w:rFonts w:ascii="Arial" w:hAnsi="Arial" w:cs="Arial"/>
          <w:color w:val="000000"/>
        </w:rPr>
        <w:t xml:space="preserve"> </w:t>
      </w:r>
      <w:r w:rsidR="0061296B" w:rsidRPr="0062028A">
        <w:rPr>
          <w:rFonts w:ascii="Arial" w:hAnsi="Arial" w:cs="Arial"/>
          <w:color w:val="000000"/>
        </w:rPr>
        <w:t>December</w:t>
      </w:r>
      <w:r w:rsidR="0062028A">
        <w:rPr>
          <w:rFonts w:ascii="Arial" w:hAnsi="Arial" w:cs="Arial"/>
          <w:color w:val="000000"/>
        </w:rPr>
        <w:t xml:space="preserve"> </w:t>
      </w:r>
      <w:r w:rsidR="0061296B" w:rsidRPr="0062028A">
        <w:rPr>
          <w:rFonts w:ascii="Arial" w:hAnsi="Arial" w:cs="Arial"/>
          <w:color w:val="000000"/>
        </w:rPr>
        <w:t>31,</w:t>
      </w:r>
      <w:r w:rsidR="0062028A">
        <w:rPr>
          <w:rFonts w:ascii="Arial" w:hAnsi="Arial" w:cs="Arial"/>
          <w:color w:val="000000"/>
        </w:rPr>
        <w:t xml:space="preserve"> </w:t>
      </w:r>
      <w:r w:rsidR="0061296B" w:rsidRPr="0062028A">
        <w:rPr>
          <w:rFonts w:ascii="Arial" w:hAnsi="Arial" w:cs="Arial"/>
          <w:color w:val="000000"/>
        </w:rPr>
        <w:t>2023</w:t>
      </w:r>
      <w:r w:rsidRPr="0062028A">
        <w:rPr>
          <w:rFonts w:ascii="Arial" w:hAnsi="Arial" w:cs="Arial"/>
          <w:color w:val="000000"/>
        </w:rPr>
        <w:t>.]</w:t>
      </w:r>
    </w:p>
    <w:sectPr w:rsidR="00AD18C6" w:rsidSect="0062028A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85FA" w14:textId="77777777" w:rsidR="00551B76" w:rsidRDefault="00551B76" w:rsidP="00AE66E6">
      <w:r>
        <w:separator/>
      </w:r>
    </w:p>
  </w:endnote>
  <w:endnote w:type="continuationSeparator" w:id="0">
    <w:p w14:paraId="1EBCCF85" w14:textId="77777777" w:rsidR="00551B76" w:rsidRDefault="00551B76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6F9D" w14:textId="77777777" w:rsidR="00551B76" w:rsidRDefault="00551B76" w:rsidP="00AE66E6">
      <w:r>
        <w:separator/>
      </w:r>
    </w:p>
  </w:footnote>
  <w:footnote w:type="continuationSeparator" w:id="0">
    <w:p w14:paraId="7018A3B0" w14:textId="77777777" w:rsidR="00551B76" w:rsidRDefault="00551B76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484"/>
    <w:multiLevelType w:val="hybridMultilevel"/>
    <w:tmpl w:val="280E2C6A"/>
    <w:lvl w:ilvl="0" w:tplc="86BEA47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7396267">
    <w:abstractNumId w:val="1"/>
  </w:num>
  <w:num w:numId="2" w16cid:durableId="229315305">
    <w:abstractNumId w:val="5"/>
  </w:num>
  <w:num w:numId="3" w16cid:durableId="1486505797">
    <w:abstractNumId w:val="2"/>
  </w:num>
  <w:num w:numId="4" w16cid:durableId="141194509">
    <w:abstractNumId w:val="4"/>
  </w:num>
  <w:num w:numId="5" w16cid:durableId="1375428053">
    <w:abstractNumId w:val="6"/>
  </w:num>
  <w:num w:numId="6" w16cid:durableId="1336348321">
    <w:abstractNumId w:val="7"/>
  </w:num>
  <w:num w:numId="7" w16cid:durableId="2121104683">
    <w:abstractNumId w:val="3"/>
  </w:num>
  <w:num w:numId="8" w16cid:durableId="40529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6"/>
    <w:rsid w:val="0006105D"/>
    <w:rsid w:val="00087D1B"/>
    <w:rsid w:val="000A7C64"/>
    <w:rsid w:val="00146C78"/>
    <w:rsid w:val="0017569D"/>
    <w:rsid w:val="00185A92"/>
    <w:rsid w:val="001B683C"/>
    <w:rsid w:val="001E2331"/>
    <w:rsid w:val="0021715F"/>
    <w:rsid w:val="002C2486"/>
    <w:rsid w:val="00312840"/>
    <w:rsid w:val="003A2A1E"/>
    <w:rsid w:val="0040014D"/>
    <w:rsid w:val="00471D37"/>
    <w:rsid w:val="004C739D"/>
    <w:rsid w:val="004F1C0C"/>
    <w:rsid w:val="005010C1"/>
    <w:rsid w:val="005145D5"/>
    <w:rsid w:val="00551B76"/>
    <w:rsid w:val="005B011D"/>
    <w:rsid w:val="00603C18"/>
    <w:rsid w:val="0061296B"/>
    <w:rsid w:val="0062028A"/>
    <w:rsid w:val="006807C5"/>
    <w:rsid w:val="006B7226"/>
    <w:rsid w:val="006F57A3"/>
    <w:rsid w:val="007145B7"/>
    <w:rsid w:val="007576C5"/>
    <w:rsid w:val="00774832"/>
    <w:rsid w:val="00785923"/>
    <w:rsid w:val="00807AC3"/>
    <w:rsid w:val="008165DB"/>
    <w:rsid w:val="00840636"/>
    <w:rsid w:val="00842C8D"/>
    <w:rsid w:val="00880496"/>
    <w:rsid w:val="008D493D"/>
    <w:rsid w:val="008F28DD"/>
    <w:rsid w:val="009010E9"/>
    <w:rsid w:val="00924D8B"/>
    <w:rsid w:val="00A2762F"/>
    <w:rsid w:val="00A3117F"/>
    <w:rsid w:val="00A42CF9"/>
    <w:rsid w:val="00AB4F13"/>
    <w:rsid w:val="00AD18C6"/>
    <w:rsid w:val="00AE0EDB"/>
    <w:rsid w:val="00AE66E6"/>
    <w:rsid w:val="00B347E4"/>
    <w:rsid w:val="00B52187"/>
    <w:rsid w:val="00B65C9D"/>
    <w:rsid w:val="00BE079F"/>
    <w:rsid w:val="00BE4C8E"/>
    <w:rsid w:val="00C14486"/>
    <w:rsid w:val="00C460DB"/>
    <w:rsid w:val="00C52326"/>
    <w:rsid w:val="00C74E29"/>
    <w:rsid w:val="00D25CE7"/>
    <w:rsid w:val="00D37FEC"/>
    <w:rsid w:val="00DC6BB0"/>
    <w:rsid w:val="00DF7D9F"/>
    <w:rsid w:val="00E06931"/>
    <w:rsid w:val="00E41F2D"/>
    <w:rsid w:val="00E670A0"/>
    <w:rsid w:val="00E75C02"/>
    <w:rsid w:val="00E85A9D"/>
    <w:rsid w:val="00EA4B5E"/>
    <w:rsid w:val="00EE4B25"/>
    <w:rsid w:val="00FC38F7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A5DE495"/>
  <w15:docId w15:val="{4C6D40E3-126E-421A-9235-4532644B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C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C1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text">
    <w:name w:val="text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">
    <w:name w:val="rules"/>
    <w:basedOn w:val="DefaultParagraphFont"/>
    <w:rsid w:val="00603C18"/>
  </w:style>
  <w:style w:type="character" w:customStyle="1" w:styleId="superscript1">
    <w:name w:val="superscript1"/>
    <w:basedOn w:val="DefaultParagraphFont"/>
    <w:rsid w:val="00603C18"/>
  </w:style>
  <w:style w:type="paragraph" w:customStyle="1" w:styleId="indent1">
    <w:name w:val="indent1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formc">
    <w:name w:val="formc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history">
    <w:name w:val="history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history">
    <w:name w:val="ruleshistory"/>
    <w:basedOn w:val="DefaultParagraphFont"/>
    <w:rsid w:val="00603C18"/>
  </w:style>
  <w:style w:type="paragraph" w:customStyle="1" w:styleId="ccannotations">
    <w:name w:val="ccannotations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annotations">
    <w:name w:val="rulesannotations"/>
    <w:basedOn w:val="DefaultParagraphFont"/>
    <w:rsid w:val="00603C18"/>
  </w:style>
  <w:style w:type="character" w:customStyle="1" w:styleId="decisia-reflex">
    <w:name w:val="decisia-reflex"/>
    <w:basedOn w:val="DefaultParagraphFont"/>
    <w:rsid w:val="00603C18"/>
  </w:style>
  <w:style w:type="character" w:styleId="Hyperlink">
    <w:name w:val="Hyperlink"/>
    <w:basedOn w:val="DefaultParagraphFont"/>
    <w:uiPriority w:val="99"/>
    <w:unhideWhenUsed/>
    <w:rsid w:val="00603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AC129-FC27-47F9-AFD2-895E21292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3BC1A-B5C1-4122-99B5-DEFA68691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Dick</dc:creator>
  <cp:lastModifiedBy>Loretta Barela</cp:lastModifiedBy>
  <cp:revision>5</cp:revision>
  <cp:lastPrinted>2023-10-26T17:04:00Z</cp:lastPrinted>
  <dcterms:created xsi:type="dcterms:W3CDTF">2023-10-26T17:04:00Z</dcterms:created>
  <dcterms:modified xsi:type="dcterms:W3CDTF">2023-11-02T17:21:00Z</dcterms:modified>
</cp:coreProperties>
</file>