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9EF0" w14:textId="350998ED" w:rsidR="00512DE6" w:rsidRPr="00512DE6" w:rsidRDefault="00512DE6" w:rsidP="00512DE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512DE6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12DE6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12DE6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12DE6">
        <w:rPr>
          <w:rFonts w:ascii="Arial" w:hAnsi="Arial" w:cs="Arial"/>
          <w:b/>
          <w:bCs/>
          <w:kern w:val="0"/>
          <w:sz w:val="24"/>
          <w:szCs w:val="24"/>
        </w:rPr>
        <w:t>13-911. Employee's conduct the sole cause.</w:t>
      </w:r>
    </w:p>
    <w:p w14:paraId="18E7462A" w14:textId="2CAE47EA" w:rsidR="00512DE6" w:rsidRPr="00512DE6" w:rsidRDefault="00512DE6" w:rsidP="00512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12DE6">
        <w:rPr>
          <w:rFonts w:ascii="Arial" w:hAnsi="Arial" w:cs="Arial"/>
          <w:kern w:val="0"/>
          <w:sz w:val="24"/>
          <w:szCs w:val="24"/>
        </w:rPr>
        <w:tab/>
        <w:t xml:space="preserve">There can be no recovery of damages by the plaintiff if the [plaintiff's] [decedent's] conduct was the sole cause of the injuries. </w:t>
      </w:r>
    </w:p>
    <w:p w14:paraId="7B7B7F2A" w14:textId="4C3C896C" w:rsidR="00512DE6" w:rsidRPr="00512DE6" w:rsidRDefault="00512DE6" w:rsidP="00512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BCA5A27" w14:textId="14744071" w:rsidR="00512DE6" w:rsidRPr="00512DE6" w:rsidRDefault="00512DE6" w:rsidP="00512DE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12DE6">
        <w:rPr>
          <w:rFonts w:ascii="Arial" w:hAnsi="Arial" w:cs="Arial"/>
          <w:kern w:val="0"/>
          <w:sz w:val="24"/>
          <w:szCs w:val="24"/>
        </w:rPr>
        <w:t>USE NOTE</w:t>
      </w:r>
      <w:r w:rsidR="006377FC">
        <w:rPr>
          <w:rFonts w:ascii="Arial" w:hAnsi="Arial" w:cs="Arial"/>
          <w:kern w:val="0"/>
          <w:sz w:val="24"/>
          <w:szCs w:val="24"/>
        </w:rPr>
        <w:t>S</w:t>
      </w:r>
    </w:p>
    <w:p w14:paraId="3FCC7990" w14:textId="5687576D" w:rsidR="00FD1DC7" w:rsidRPr="00512DE6" w:rsidRDefault="00512DE6" w:rsidP="00512DE6">
      <w:pPr>
        <w:rPr>
          <w:rFonts w:ascii="Arial" w:hAnsi="Arial" w:cs="Arial"/>
        </w:rPr>
      </w:pPr>
      <w:r w:rsidRPr="00512DE6">
        <w:rPr>
          <w:rFonts w:ascii="Arial" w:hAnsi="Arial" w:cs="Arial"/>
          <w:kern w:val="0"/>
          <w:sz w:val="24"/>
          <w:szCs w:val="24"/>
        </w:rPr>
        <w:tab/>
        <w:t xml:space="preserve">This instruction shall be given at the request of the defendant, when supported by the evidence. It is equally appropriate in cases under the Safety Appliance Acts, 45 U.S.C.A. §§ 1-16, and in cases under the Boiler Inspection Acts, 45 U.S.C.A. §§ 22-34. </w:t>
      </w:r>
    </w:p>
    <w:sectPr w:rsidR="00FD1DC7" w:rsidRPr="0051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E6"/>
    <w:rsid w:val="00512DE6"/>
    <w:rsid w:val="006377FC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2CCB"/>
  <w15:chartTrackingRefBased/>
  <w15:docId w15:val="{083F6A54-29F9-4DCA-A133-F3CB8F7F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568FB-26BF-45BA-B577-0C5C9A2BA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77E80-2FE4-4A41-822F-4B09AACA391C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5D6A0D05-978B-41E6-9ED5-2B93FD051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Paul</cp:lastModifiedBy>
  <cp:revision>2</cp:revision>
  <dcterms:created xsi:type="dcterms:W3CDTF">2023-11-07T17:04:00Z</dcterms:created>
  <dcterms:modified xsi:type="dcterms:W3CDTF">2023-11-08T23:30:00Z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