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A124" w14:textId="3E7791C9" w:rsidR="00492E3B" w:rsidRPr="00D7773E" w:rsidRDefault="00492E3B" w:rsidP="00D7773E">
      <w:pPr>
        <w:spacing w:before="100" w:beforeAutospacing="1" w:after="100" w:afterAutospacing="1"/>
        <w:rPr>
          <w:rFonts w:ascii="Arial" w:hAnsi="Arial" w:cs="Arial"/>
          <w:sz w:val="24"/>
          <w:szCs w:val="24"/>
        </w:rPr>
      </w:pPr>
      <w:r w:rsidRPr="00D7773E">
        <w:rPr>
          <w:rFonts w:ascii="Arial" w:hAnsi="Arial" w:cs="Arial"/>
          <w:sz w:val="24"/>
          <w:szCs w:val="24"/>
          <w:lang w:val="en-CA"/>
        </w:rPr>
        <w:fldChar w:fldCharType="begin"/>
      </w:r>
      <w:r w:rsidRPr="00D7773E">
        <w:rPr>
          <w:rFonts w:ascii="Arial" w:hAnsi="Arial" w:cs="Arial"/>
          <w:sz w:val="24"/>
          <w:szCs w:val="24"/>
          <w:lang w:val="en-CA"/>
        </w:rPr>
        <w:instrText xml:space="preserve"> SEQ CHAPTER \h \r 1</w:instrText>
      </w:r>
      <w:r w:rsidRPr="00D7773E">
        <w:rPr>
          <w:rFonts w:ascii="Arial" w:hAnsi="Arial" w:cs="Arial"/>
          <w:sz w:val="24"/>
          <w:szCs w:val="24"/>
          <w:lang w:val="en-CA"/>
        </w:rPr>
        <w:fldChar w:fldCharType="end"/>
      </w:r>
      <w:r w:rsidRPr="00D7773E">
        <w:rPr>
          <w:rFonts w:ascii="Arial" w:hAnsi="Arial" w:cs="Arial"/>
          <w:b/>
          <w:bCs/>
          <w:sz w:val="24"/>
          <w:szCs w:val="24"/>
        </w:rPr>
        <w:t>14-8006. Grand jury proceedings; definition of probable cause.</w:t>
      </w:r>
    </w:p>
    <w:p w14:paraId="5E12D3BE" w14:textId="352F6AE4" w:rsidR="00492E3B" w:rsidRPr="00D7773E" w:rsidRDefault="00492E3B">
      <w:pPr>
        <w:rPr>
          <w:rFonts w:ascii="Arial" w:hAnsi="Arial" w:cs="Arial"/>
          <w:sz w:val="24"/>
          <w:szCs w:val="24"/>
        </w:rPr>
      </w:pPr>
      <w:r w:rsidRPr="00D7773E">
        <w:rPr>
          <w:rFonts w:ascii="Arial" w:hAnsi="Arial" w:cs="Arial"/>
          <w:sz w:val="24"/>
          <w:szCs w:val="24"/>
        </w:rPr>
        <w:tab/>
        <w:t xml:space="preserve">"Probable cause" means the evidence presented would cause a reasonable person to believe that an offense has been committed and that the accused committed the offense.  Probable cause does not require proof beyond a reasonable doubt. </w:t>
      </w:r>
    </w:p>
    <w:p w14:paraId="13520EEC" w14:textId="77777777" w:rsidR="00492E3B" w:rsidRPr="00D7773E" w:rsidRDefault="00492E3B">
      <w:pPr>
        <w:rPr>
          <w:rFonts w:ascii="Arial" w:hAnsi="Arial" w:cs="Arial"/>
          <w:sz w:val="24"/>
          <w:szCs w:val="24"/>
        </w:rPr>
      </w:pPr>
    </w:p>
    <w:p w14:paraId="4E13209E" w14:textId="73A806DB" w:rsidR="00492E3B" w:rsidRPr="00D7773E" w:rsidRDefault="00492E3B" w:rsidP="00D7773E">
      <w:pPr>
        <w:spacing w:before="100" w:beforeAutospacing="1" w:after="100" w:afterAutospacing="1"/>
        <w:jc w:val="center"/>
        <w:rPr>
          <w:rFonts w:ascii="Arial" w:hAnsi="Arial" w:cs="Arial"/>
          <w:sz w:val="24"/>
          <w:szCs w:val="24"/>
        </w:rPr>
      </w:pPr>
      <w:r w:rsidRPr="00D7773E">
        <w:rPr>
          <w:rFonts w:ascii="Arial" w:hAnsi="Arial" w:cs="Arial"/>
          <w:sz w:val="24"/>
          <w:szCs w:val="24"/>
        </w:rPr>
        <w:t>USE NOTE</w:t>
      </w:r>
      <w:r w:rsidR="00D7773E">
        <w:rPr>
          <w:rFonts w:ascii="Arial" w:hAnsi="Arial" w:cs="Arial"/>
          <w:sz w:val="24"/>
          <w:szCs w:val="24"/>
        </w:rPr>
        <w:t>S</w:t>
      </w:r>
    </w:p>
    <w:p w14:paraId="4ED71FAB" w14:textId="77777777" w:rsidR="00492E3B" w:rsidRPr="00D7773E" w:rsidRDefault="00492E3B">
      <w:pPr>
        <w:rPr>
          <w:rFonts w:ascii="Arial" w:hAnsi="Arial" w:cs="Arial"/>
          <w:sz w:val="24"/>
          <w:szCs w:val="24"/>
        </w:rPr>
      </w:pPr>
      <w:r w:rsidRPr="00D7773E">
        <w:rPr>
          <w:rFonts w:ascii="Arial" w:hAnsi="Arial" w:cs="Arial"/>
          <w:sz w:val="24"/>
          <w:szCs w:val="24"/>
        </w:rPr>
        <w:tab/>
        <w:t xml:space="preserve">This instruction shall be given with the essential elements instruction(s).  If the prosecutor gives essential elements instructions for more than one offense, the prosecutor is not required to give the probable cause instruction more than once. </w:t>
      </w:r>
    </w:p>
    <w:p w14:paraId="2DE6CDE5" w14:textId="77777777" w:rsidR="00492E3B" w:rsidRPr="00D7773E" w:rsidRDefault="00492E3B">
      <w:pPr>
        <w:rPr>
          <w:rFonts w:ascii="Arial" w:hAnsi="Arial" w:cs="Arial"/>
        </w:rPr>
      </w:pPr>
      <w:r w:rsidRPr="00D7773E">
        <w:rPr>
          <w:rFonts w:ascii="Arial" w:hAnsi="Arial" w:cs="Arial"/>
          <w:sz w:val="24"/>
          <w:szCs w:val="24"/>
        </w:rPr>
        <w:t>[Approved by Supreme Court Order No. 08-8300-008, effective March 21, 2008.]</w:t>
      </w:r>
    </w:p>
    <w:sectPr w:rsidR="00492E3B" w:rsidRPr="00D7773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D1F"/>
    <w:rsid w:val="004861BB"/>
    <w:rsid w:val="00492E3B"/>
    <w:rsid w:val="00A21D1F"/>
    <w:rsid w:val="00D7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6FEA3B"/>
  <w14:defaultImageDpi w14:val="0"/>
  <w15:chartTrackingRefBased/>
  <w15:docId w15:val="{B4EF62FB-596B-4E0A-9099-7AA258A0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317975-7EAC-4B48-9607-C1C59E7F68FD}">
  <ds:schemaRefs>
    <ds:schemaRef ds:uri="http://schemas.microsoft.com/sharepoint/v3/contenttype/forms"/>
  </ds:schemaRefs>
</ds:datastoreItem>
</file>

<file path=customXml/itemProps2.xml><?xml version="1.0" encoding="utf-8"?>
<ds:datastoreItem xmlns:ds="http://schemas.openxmlformats.org/officeDocument/2006/customXml" ds:itemID="{BDA22D4A-11B5-4885-9EC8-01E29E1C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38B2D-54BA-4310-B252-C3CCEAEAE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2023-12-12T17:37:00Z</dcterms:created>
  <dcterms:modified xsi:type="dcterms:W3CDTF">2023-12-12T17:37:00Z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