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5E0E" w14:textId="38F055A4" w:rsidR="00EC0BCE" w:rsidRPr="00EC0BCE" w:rsidRDefault="00EC0BCE" w:rsidP="00EC0BCE">
      <w:pPr>
        <w:autoSpaceDE w:val="0"/>
        <w:autoSpaceDN w:val="0"/>
        <w:adjustRightInd w:val="0"/>
        <w:spacing w:after="120" w:line="240" w:lineRule="auto"/>
        <w:rPr>
          <w:rFonts w:ascii="Arial" w:hAnsi="Arial" w:cs="Arial"/>
          <w:kern w:val="0"/>
          <w:sz w:val="24"/>
          <w:szCs w:val="24"/>
        </w:rPr>
      </w:pPr>
      <w:r w:rsidRPr="00EC0BCE">
        <w:rPr>
          <w:rFonts w:ascii="Arial" w:hAnsi="Arial" w:cs="Arial"/>
          <w:kern w:val="0"/>
          <w:sz w:val="24"/>
          <w:szCs w:val="24"/>
          <w:lang w:val="en-CA"/>
        </w:rPr>
        <w:fldChar w:fldCharType="begin"/>
      </w:r>
      <w:r w:rsidRPr="00EC0BCE">
        <w:rPr>
          <w:rFonts w:ascii="Arial" w:hAnsi="Arial" w:cs="Arial"/>
          <w:kern w:val="0"/>
          <w:sz w:val="24"/>
          <w:szCs w:val="24"/>
          <w:lang w:val="en-CA"/>
        </w:rPr>
        <w:instrText xml:space="preserve"> SEQ CHAPTER \h \r 1</w:instrText>
      </w:r>
      <w:r w:rsidRPr="00EC0BCE">
        <w:rPr>
          <w:rFonts w:ascii="Arial" w:hAnsi="Arial" w:cs="Arial"/>
          <w:kern w:val="0"/>
          <w:sz w:val="24"/>
          <w:szCs w:val="24"/>
          <w:lang w:val="en-CA"/>
        </w:rPr>
        <w:fldChar w:fldCharType="end"/>
      </w:r>
      <w:r w:rsidRPr="00EC0BCE">
        <w:rPr>
          <w:rFonts w:ascii="Arial" w:hAnsi="Arial" w:cs="Arial"/>
          <w:b/>
          <w:bCs/>
          <w:kern w:val="0"/>
          <w:sz w:val="24"/>
          <w:szCs w:val="24"/>
        </w:rPr>
        <w:t>13-905. The rule of liability; interstate commerce an issue.</w:t>
      </w:r>
    </w:p>
    <w:p w14:paraId="7A3216F9" w14:textId="678BEAA2" w:rsidR="00EC0BCE" w:rsidRPr="00EC0BCE" w:rsidRDefault="00EC0BCE" w:rsidP="00EC0BCE">
      <w:pPr>
        <w:autoSpaceDE w:val="0"/>
        <w:autoSpaceDN w:val="0"/>
        <w:adjustRightInd w:val="0"/>
        <w:spacing w:after="0" w:line="240" w:lineRule="auto"/>
        <w:rPr>
          <w:rFonts w:ascii="Arial" w:hAnsi="Arial" w:cs="Arial"/>
          <w:kern w:val="0"/>
          <w:sz w:val="24"/>
          <w:szCs w:val="24"/>
        </w:rPr>
      </w:pPr>
      <w:r w:rsidRPr="00EC0BCE">
        <w:rPr>
          <w:rFonts w:ascii="Arial" w:hAnsi="Arial" w:cs="Arial"/>
          <w:kern w:val="0"/>
          <w:sz w:val="24"/>
          <w:szCs w:val="24"/>
        </w:rPr>
        <w:tab/>
        <w:t xml:space="preserve">When an employee of a railroad is [injured] [killed] while engaged in [his] [her] employment in interstate commerce and the [injury] [death] is caused in whole or in part by the negligence of the railroad or by reason of any defect or insufficiency resulting from the railroad's negligence, the railroad is liable in damages. </w:t>
      </w:r>
    </w:p>
    <w:p w14:paraId="6EA85121" w14:textId="2BF5989B" w:rsidR="00EC0BCE" w:rsidRPr="00EC0BCE" w:rsidRDefault="00EC0BCE" w:rsidP="00EC0BCE">
      <w:pPr>
        <w:autoSpaceDE w:val="0"/>
        <w:autoSpaceDN w:val="0"/>
        <w:adjustRightInd w:val="0"/>
        <w:spacing w:after="0" w:line="240" w:lineRule="auto"/>
        <w:rPr>
          <w:rFonts w:ascii="Arial" w:hAnsi="Arial" w:cs="Arial"/>
          <w:kern w:val="0"/>
          <w:sz w:val="24"/>
          <w:szCs w:val="24"/>
        </w:rPr>
      </w:pPr>
      <w:r w:rsidRPr="00EC0BCE">
        <w:rPr>
          <w:rFonts w:ascii="Arial" w:hAnsi="Arial" w:cs="Arial"/>
          <w:kern w:val="0"/>
          <w:sz w:val="24"/>
          <w:szCs w:val="24"/>
        </w:rPr>
        <w:tab/>
        <w:t xml:space="preserve">An employee is considered as being employed by a railroad while engaging in interstate commerce when any part of [his] [her] duties shall be in the furtherance of interstate commerce or shall, in any way, directly or closely and substantially affect such commerce. </w:t>
      </w:r>
    </w:p>
    <w:p w14:paraId="4A3D56CC" w14:textId="77777777" w:rsidR="00EC0BCE" w:rsidRPr="00EC0BCE" w:rsidRDefault="00EC0BCE" w:rsidP="00EC0BCE">
      <w:pPr>
        <w:autoSpaceDE w:val="0"/>
        <w:autoSpaceDN w:val="0"/>
        <w:adjustRightInd w:val="0"/>
        <w:spacing w:after="0" w:line="240" w:lineRule="auto"/>
        <w:rPr>
          <w:rFonts w:ascii="Arial" w:hAnsi="Arial" w:cs="Arial"/>
          <w:kern w:val="0"/>
          <w:sz w:val="24"/>
          <w:szCs w:val="24"/>
        </w:rPr>
      </w:pPr>
      <w:r w:rsidRPr="00EC0BCE">
        <w:rPr>
          <w:rFonts w:ascii="Arial" w:hAnsi="Arial" w:cs="Arial"/>
          <w:kern w:val="0"/>
          <w:sz w:val="24"/>
          <w:szCs w:val="24"/>
        </w:rPr>
        <w:t xml:space="preserve"> </w:t>
      </w:r>
    </w:p>
    <w:p w14:paraId="2E37BB09" w14:textId="4B6B88E5" w:rsidR="00EC0BCE" w:rsidRPr="00EC0BCE" w:rsidRDefault="00EC0BCE" w:rsidP="00EC0BCE">
      <w:pPr>
        <w:autoSpaceDE w:val="0"/>
        <w:autoSpaceDN w:val="0"/>
        <w:adjustRightInd w:val="0"/>
        <w:spacing w:after="0" w:line="240" w:lineRule="auto"/>
        <w:jc w:val="center"/>
        <w:rPr>
          <w:rFonts w:ascii="Arial" w:hAnsi="Arial" w:cs="Arial"/>
          <w:kern w:val="0"/>
          <w:sz w:val="24"/>
          <w:szCs w:val="24"/>
        </w:rPr>
      </w:pPr>
      <w:r w:rsidRPr="00EC0BCE">
        <w:rPr>
          <w:rFonts w:ascii="Arial" w:hAnsi="Arial" w:cs="Arial"/>
          <w:kern w:val="0"/>
          <w:sz w:val="24"/>
          <w:szCs w:val="24"/>
        </w:rPr>
        <w:t>USE NOTE</w:t>
      </w:r>
      <w:r w:rsidR="005737C7">
        <w:rPr>
          <w:rFonts w:ascii="Arial" w:hAnsi="Arial" w:cs="Arial"/>
          <w:kern w:val="0"/>
          <w:sz w:val="24"/>
          <w:szCs w:val="24"/>
        </w:rPr>
        <w:t>S</w:t>
      </w:r>
    </w:p>
    <w:p w14:paraId="2B0F0377" w14:textId="71D52B88" w:rsidR="00EC0BCE" w:rsidRPr="00EC0BCE" w:rsidRDefault="00EC0BCE" w:rsidP="00EC0BCE">
      <w:pPr>
        <w:autoSpaceDE w:val="0"/>
        <w:autoSpaceDN w:val="0"/>
        <w:adjustRightInd w:val="0"/>
        <w:spacing w:after="0" w:line="240" w:lineRule="auto"/>
        <w:rPr>
          <w:rFonts w:ascii="Arial" w:hAnsi="Arial" w:cs="Arial"/>
          <w:kern w:val="0"/>
          <w:sz w:val="24"/>
          <w:szCs w:val="24"/>
        </w:rPr>
      </w:pPr>
      <w:r w:rsidRPr="00EC0BCE">
        <w:rPr>
          <w:rFonts w:ascii="Arial" w:hAnsi="Arial" w:cs="Arial"/>
          <w:kern w:val="0"/>
          <w:sz w:val="24"/>
          <w:szCs w:val="24"/>
        </w:rPr>
        <w:tab/>
        <w:t xml:space="preserve">This instruction is to be used only when interstate commerce is an issue. </w:t>
      </w:r>
    </w:p>
    <w:p w14:paraId="23A81109" w14:textId="0B970FD8" w:rsidR="002A3AED" w:rsidRPr="00EC0BCE" w:rsidRDefault="00EC0BCE" w:rsidP="00EC0BCE">
      <w:pPr>
        <w:rPr>
          <w:rFonts w:ascii="Arial" w:hAnsi="Arial" w:cs="Arial"/>
        </w:rPr>
      </w:pPr>
      <w:r w:rsidRPr="00EC0BCE">
        <w:rPr>
          <w:rFonts w:ascii="Arial" w:hAnsi="Arial" w:cs="Arial"/>
          <w:kern w:val="0"/>
          <w:sz w:val="24"/>
          <w:szCs w:val="24"/>
        </w:rPr>
        <w:t xml:space="preserve">[As amended, effective November 1, 1991.] </w:t>
      </w:r>
    </w:p>
    <w:sectPr w:rsidR="002A3AED" w:rsidRPr="00EC0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CE"/>
    <w:rsid w:val="002A3AED"/>
    <w:rsid w:val="005737C7"/>
    <w:rsid w:val="00EC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FC9E"/>
  <w15:chartTrackingRefBased/>
  <w15:docId w15:val="{69A9CE4A-619E-411B-9937-5B7E9432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05C17-FB17-44B2-945C-E3B020ECE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E87F9-2151-4961-B201-57812CB53603}">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ED448943-2CBF-4555-B113-EC21A59D5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Paul</cp:lastModifiedBy>
  <cp:revision>2</cp:revision>
  <dcterms:created xsi:type="dcterms:W3CDTF">2023-11-07T16:38:00Z</dcterms:created>
  <dcterms:modified xsi:type="dcterms:W3CDTF">2023-11-08T23:31:00Z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