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F026" w14:textId="2B89D851" w:rsidR="00182030" w:rsidRPr="005D6182" w:rsidRDefault="00182030" w:rsidP="005D618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D6182">
        <w:rPr>
          <w:rFonts w:ascii="Arial" w:hAnsi="Arial" w:cs="Arial"/>
          <w:sz w:val="24"/>
          <w:szCs w:val="24"/>
          <w:lang w:val="en-CA"/>
        </w:rPr>
        <w:fldChar w:fldCharType="begin"/>
      </w:r>
      <w:r w:rsidRPr="005D618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D6182">
        <w:rPr>
          <w:rFonts w:ascii="Arial" w:hAnsi="Arial" w:cs="Arial"/>
          <w:sz w:val="24"/>
          <w:szCs w:val="24"/>
          <w:lang w:val="en-CA"/>
        </w:rPr>
        <w:fldChar w:fldCharType="end"/>
      </w:r>
      <w:r w:rsidRPr="005D6182">
        <w:rPr>
          <w:rFonts w:ascii="Arial" w:hAnsi="Arial" w:cs="Arial"/>
          <w:b/>
          <w:bCs/>
          <w:sz w:val="24"/>
          <w:szCs w:val="24"/>
        </w:rPr>
        <w:t>14-1603. Larceny; "carried away"; defined.</w:t>
      </w:r>
    </w:p>
    <w:p w14:paraId="4F72D2DF" w14:textId="1CF71522" w:rsidR="00182030" w:rsidRPr="005D6182" w:rsidRDefault="00182030">
      <w:pPr>
        <w:rPr>
          <w:rFonts w:ascii="Arial" w:hAnsi="Arial" w:cs="Arial"/>
          <w:sz w:val="24"/>
          <w:szCs w:val="24"/>
        </w:rPr>
      </w:pPr>
      <w:r w:rsidRPr="005D6182">
        <w:rPr>
          <w:rFonts w:ascii="Arial" w:hAnsi="Arial" w:cs="Arial"/>
          <w:sz w:val="24"/>
          <w:szCs w:val="24"/>
        </w:rPr>
        <w:tab/>
        <w:t xml:space="preserve">"Carried away" means moving the property from the place where it was kept or placed by the owner. </w:t>
      </w:r>
    </w:p>
    <w:p w14:paraId="03109287" w14:textId="77777777" w:rsidR="00182030" w:rsidRPr="005D6182" w:rsidRDefault="00182030">
      <w:pPr>
        <w:rPr>
          <w:rFonts w:ascii="Arial" w:hAnsi="Arial" w:cs="Arial"/>
          <w:sz w:val="24"/>
          <w:szCs w:val="24"/>
        </w:rPr>
      </w:pPr>
    </w:p>
    <w:p w14:paraId="2DD1EC88" w14:textId="7421D4A5" w:rsidR="00182030" w:rsidRPr="005D6182" w:rsidRDefault="00182030" w:rsidP="005D618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D6182">
        <w:rPr>
          <w:rFonts w:ascii="Arial" w:hAnsi="Arial" w:cs="Arial"/>
          <w:sz w:val="24"/>
          <w:szCs w:val="24"/>
        </w:rPr>
        <w:t>USE NOTE</w:t>
      </w:r>
      <w:r w:rsidR="005D6182">
        <w:rPr>
          <w:rFonts w:ascii="Arial" w:hAnsi="Arial" w:cs="Arial"/>
          <w:sz w:val="24"/>
          <w:szCs w:val="24"/>
        </w:rPr>
        <w:t>S</w:t>
      </w:r>
    </w:p>
    <w:p w14:paraId="696BECAE" w14:textId="77777777" w:rsidR="00182030" w:rsidRPr="005D6182" w:rsidRDefault="00182030">
      <w:pPr>
        <w:rPr>
          <w:rFonts w:ascii="Arial" w:hAnsi="Arial" w:cs="Arial"/>
        </w:rPr>
      </w:pPr>
      <w:r w:rsidRPr="005D6182">
        <w:rPr>
          <w:rFonts w:ascii="Arial" w:hAnsi="Arial" w:cs="Arial"/>
          <w:sz w:val="24"/>
          <w:szCs w:val="24"/>
        </w:rPr>
        <w:tab/>
        <w:t xml:space="preserve">This instruction is to be given with UJI 14-1601, 14-1620 and 14-1621 when there is a question as to whether the evidence establishes the element of asportation. </w:t>
      </w:r>
    </w:p>
    <w:sectPr w:rsidR="00182030" w:rsidRPr="005D618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570"/>
    <w:rsid w:val="00163FC1"/>
    <w:rsid w:val="00182030"/>
    <w:rsid w:val="005D6182"/>
    <w:rsid w:val="008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C817BF"/>
  <w14:defaultImageDpi w14:val="0"/>
  <w15:chartTrackingRefBased/>
  <w15:docId w15:val="{0BEF1BAD-63FA-4B88-AB99-0E527543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88FB0C-1C01-4BE3-98C0-428E555BE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8DB67-1DC2-4525-965F-5A2DA05CF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48BEC-2C8B-4C90-A2B7-32241B27A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2023-12-05T23:40:00Z</dcterms:created>
  <dcterms:modified xsi:type="dcterms:W3CDTF">2023-12-05T23:40:00Z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