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E331B" w14:textId="0A67F63D" w:rsidR="009C3074" w:rsidRPr="00B13BB8" w:rsidRDefault="009C3074" w:rsidP="00B13BB8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13BB8">
        <w:rPr>
          <w:rFonts w:ascii="Arial" w:hAnsi="Arial" w:cs="Arial"/>
          <w:sz w:val="24"/>
          <w:szCs w:val="24"/>
          <w:lang w:val="en-CA"/>
        </w:rPr>
        <w:fldChar w:fldCharType="begin"/>
      </w:r>
      <w:r w:rsidRPr="00B13BB8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B13BB8">
        <w:rPr>
          <w:rFonts w:ascii="Arial" w:hAnsi="Arial" w:cs="Arial"/>
          <w:sz w:val="24"/>
          <w:szCs w:val="24"/>
          <w:lang w:val="en-CA"/>
        </w:rPr>
        <w:fldChar w:fldCharType="end"/>
      </w:r>
      <w:r w:rsidRPr="00B13BB8">
        <w:rPr>
          <w:rFonts w:ascii="Arial" w:hAnsi="Arial" w:cs="Arial"/>
          <w:b/>
          <w:bCs/>
          <w:sz w:val="24"/>
          <w:szCs w:val="24"/>
        </w:rPr>
        <w:t>14-1707. Arson; "market value"; defined.</w:t>
      </w:r>
    </w:p>
    <w:p w14:paraId="354B73B1" w14:textId="4E3244F1" w:rsidR="009C3074" w:rsidRPr="00B13BB8" w:rsidRDefault="009C3074">
      <w:pPr>
        <w:rPr>
          <w:rFonts w:ascii="Arial" w:hAnsi="Arial" w:cs="Arial"/>
          <w:sz w:val="24"/>
          <w:szCs w:val="24"/>
        </w:rPr>
      </w:pPr>
      <w:r w:rsidRPr="00B13BB8">
        <w:rPr>
          <w:rFonts w:ascii="Arial" w:hAnsi="Arial" w:cs="Arial"/>
          <w:sz w:val="24"/>
          <w:szCs w:val="24"/>
        </w:rPr>
        <w:tab/>
        <w:t xml:space="preserve">"Market value" means the price at which the property could ordinarily be bought or sold just prior to the time of its destruction or damage. </w:t>
      </w:r>
    </w:p>
    <w:p w14:paraId="2AA221D2" w14:textId="6A6C0CC1" w:rsidR="009C3074" w:rsidRPr="00B13BB8" w:rsidRDefault="009C3074">
      <w:pPr>
        <w:rPr>
          <w:rFonts w:ascii="Arial" w:hAnsi="Arial" w:cs="Arial"/>
          <w:sz w:val="24"/>
          <w:szCs w:val="24"/>
        </w:rPr>
      </w:pPr>
    </w:p>
    <w:p w14:paraId="28F84AEF" w14:textId="53752BE6" w:rsidR="009C3074" w:rsidRPr="00B13BB8" w:rsidRDefault="009C3074" w:rsidP="00B13BB8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B13BB8">
        <w:rPr>
          <w:rFonts w:ascii="Arial" w:hAnsi="Arial" w:cs="Arial"/>
          <w:sz w:val="24"/>
          <w:szCs w:val="24"/>
        </w:rPr>
        <w:t>USE NOTE</w:t>
      </w:r>
      <w:r w:rsidR="00B13BB8">
        <w:rPr>
          <w:rFonts w:ascii="Arial" w:hAnsi="Arial" w:cs="Arial"/>
          <w:sz w:val="24"/>
          <w:szCs w:val="24"/>
        </w:rPr>
        <w:t>S</w:t>
      </w:r>
    </w:p>
    <w:p w14:paraId="585F7DE7" w14:textId="77777777" w:rsidR="009C3074" w:rsidRPr="00B13BB8" w:rsidRDefault="009C3074">
      <w:pPr>
        <w:rPr>
          <w:rFonts w:ascii="Arial" w:hAnsi="Arial" w:cs="Arial"/>
        </w:rPr>
      </w:pPr>
      <w:r w:rsidRPr="00B13BB8">
        <w:rPr>
          <w:rFonts w:ascii="Arial" w:hAnsi="Arial" w:cs="Arial"/>
          <w:sz w:val="24"/>
          <w:szCs w:val="24"/>
        </w:rPr>
        <w:tab/>
        <w:t>For use in conjunction with Instructions 14-1701 and 14-1702.</w:t>
      </w:r>
    </w:p>
    <w:sectPr w:rsidR="009C3074" w:rsidRPr="00B13BB8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0DED"/>
    <w:rsid w:val="000E0DED"/>
    <w:rsid w:val="00336862"/>
    <w:rsid w:val="009C3074"/>
    <w:rsid w:val="00B1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45412FA"/>
  <w14:defaultImageDpi w14:val="0"/>
  <w15:chartTrackingRefBased/>
  <w15:docId w15:val="{6ED93B24-74CE-49B5-A7BB-8FDDA215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3100B8-55FC-47C8-A092-E34CF17DC7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9C8EC3-AFE3-451A-A919-9A0699C9C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5826DE-9F90-44FD-AEDC-56E763D1DA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2023-12-07T15:21:00Z</dcterms:created>
  <dcterms:modified xsi:type="dcterms:W3CDTF">2023-12-07T15:21:00Z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